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B49" w:rsidRPr="006B6E89" w:rsidRDefault="00FB2D55" w:rsidP="006B6E89">
      <w:pPr>
        <w:spacing w:after="0" w:line="240" w:lineRule="auto"/>
        <w:jc w:val="right"/>
        <w:rPr>
          <w:rFonts w:ascii="Calibri" w:hAnsi="Calibri" w:cs="Calibri"/>
          <w:bCs/>
          <w:sz w:val="20"/>
          <w:szCs w:val="20"/>
        </w:rPr>
      </w:pPr>
      <w:bookmarkStart w:id="0" w:name="_GoBack"/>
      <w:bookmarkEnd w:id="0"/>
      <w:r>
        <w:rPr>
          <w:rFonts w:ascii="Calibri" w:hAnsi="Calibri" w:cs="Calibri"/>
          <w:bCs/>
          <w:sz w:val="20"/>
          <w:szCs w:val="20"/>
        </w:rPr>
        <w:t>09.2023</w:t>
      </w:r>
    </w:p>
    <w:p w:rsidR="00D902CA" w:rsidRPr="00E20662" w:rsidRDefault="00D902CA" w:rsidP="00D902CA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20662">
        <w:rPr>
          <w:rFonts w:ascii="Calibri" w:hAnsi="Calibri" w:cs="Calibri"/>
          <w:b/>
          <w:sz w:val="28"/>
          <w:szCs w:val="28"/>
        </w:rPr>
        <w:t xml:space="preserve">ZAŁĄCZNIK NR </w:t>
      </w:r>
      <w:r w:rsidR="00E07C35" w:rsidRPr="00E20662">
        <w:rPr>
          <w:rFonts w:ascii="Calibri" w:hAnsi="Calibri" w:cs="Calibri"/>
          <w:b/>
          <w:sz w:val="28"/>
          <w:szCs w:val="28"/>
        </w:rPr>
        <w:t>2</w:t>
      </w:r>
    </w:p>
    <w:p w:rsidR="00D902CA" w:rsidRPr="00E20662" w:rsidRDefault="00D902CA" w:rsidP="00D902CA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DB66D5" w:rsidRPr="00E20662" w:rsidRDefault="00DB66D5" w:rsidP="00D902CA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20662">
        <w:rPr>
          <w:rFonts w:ascii="Calibri" w:hAnsi="Calibri" w:cs="Calibri"/>
          <w:b/>
          <w:sz w:val="28"/>
          <w:szCs w:val="28"/>
        </w:rPr>
        <w:t>PROSPEKT INFORMACYJNY</w:t>
      </w:r>
    </w:p>
    <w:p w:rsidR="00DB66D5" w:rsidRPr="00E20662" w:rsidRDefault="00DB66D5" w:rsidP="00D902CA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5468D4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20662">
        <w:rPr>
          <w:rFonts w:ascii="Calibri" w:hAnsi="Calibri" w:cs="Calibri"/>
          <w:b/>
          <w:sz w:val="28"/>
          <w:szCs w:val="28"/>
        </w:rPr>
        <w:t>„</w:t>
      </w:r>
      <w:r w:rsidR="009F1975">
        <w:rPr>
          <w:rFonts w:ascii="Calibri" w:hAnsi="Calibri" w:cs="Calibri"/>
          <w:b/>
          <w:sz w:val="28"/>
          <w:szCs w:val="28"/>
        </w:rPr>
        <w:t>Przy Dolinie</w:t>
      </w:r>
      <w:r w:rsidRPr="00E20662">
        <w:rPr>
          <w:rFonts w:ascii="Calibri" w:hAnsi="Calibri" w:cs="Calibri"/>
          <w:b/>
          <w:sz w:val="28"/>
          <w:szCs w:val="28"/>
        </w:rPr>
        <w:t>”</w:t>
      </w:r>
    </w:p>
    <w:p w:rsidR="00197C87" w:rsidRPr="00E20662" w:rsidRDefault="00197C87" w:rsidP="00D902CA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20662">
        <w:rPr>
          <w:rFonts w:ascii="Calibri" w:hAnsi="Calibri" w:cs="Calibri"/>
          <w:b/>
          <w:sz w:val="28"/>
          <w:szCs w:val="28"/>
        </w:rPr>
        <w:t>ul. Okrzei, Kielce</w:t>
      </w:r>
    </w:p>
    <w:p w:rsidR="00A716FF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sz w:val="19"/>
          <w:szCs w:val="19"/>
        </w:rPr>
      </w:pPr>
      <w:r w:rsidRPr="00E20662">
        <w:rPr>
          <w:rFonts w:ascii="Calibri" w:hAnsi="Calibri" w:cs="Calibri"/>
          <w:b/>
          <w:sz w:val="19"/>
          <w:szCs w:val="19"/>
        </w:rPr>
        <w:tab/>
      </w:r>
      <w:r w:rsidRPr="00E20662">
        <w:rPr>
          <w:rFonts w:ascii="Calibri" w:hAnsi="Calibri" w:cs="Calibri"/>
          <w:b/>
          <w:sz w:val="19"/>
          <w:szCs w:val="19"/>
        </w:rPr>
        <w:tab/>
      </w:r>
    </w:p>
    <w:p w:rsidR="00A716FF" w:rsidRPr="00E20662" w:rsidRDefault="00A716FF" w:rsidP="00C10717">
      <w:pPr>
        <w:spacing w:after="0" w:line="240" w:lineRule="auto"/>
        <w:rPr>
          <w:rFonts w:ascii="Calibri" w:hAnsi="Calibri" w:cs="Calibri"/>
          <w:b/>
          <w:sz w:val="19"/>
          <w:szCs w:val="19"/>
        </w:rPr>
      </w:pPr>
    </w:p>
    <w:p w:rsidR="00A716FF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sz w:val="19"/>
          <w:szCs w:val="19"/>
        </w:rPr>
      </w:pPr>
    </w:p>
    <w:p w:rsidR="00A716FF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181298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  <w:r w:rsidRPr="00181298">
        <w:rPr>
          <w:rFonts w:ascii="Calibri" w:hAnsi="Calibri" w:cs="Calibri"/>
          <w:b/>
          <w:noProof/>
          <w:sz w:val="19"/>
          <w:szCs w:val="19"/>
          <w:lang w:val="en-US"/>
        </w:rPr>
        <w:drawing>
          <wp:inline distT="0" distB="0" distL="0" distR="0">
            <wp:extent cx="6019800" cy="3629025"/>
            <wp:effectExtent l="0" t="0" r="0" b="0"/>
            <wp:docPr id="1" name="Obraz 1" descr="Z:\PLANOWANE\Okrzei, Kielce\WIZUALIZACJE\KĄPIELOWA-WIZUALIZACJE\ujecie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:\PLANOWANE\Okrzei, Kielce\WIZUALIZACJE\KĄPIELOWA-WIZUALIZACJE\ujecie2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F20DC2" w:rsidRPr="00E20662" w:rsidRDefault="00F20DC2" w:rsidP="00D902CA">
      <w:pPr>
        <w:spacing w:after="0" w:line="240" w:lineRule="auto"/>
        <w:jc w:val="center"/>
        <w:rPr>
          <w:rFonts w:ascii="Calibri" w:hAnsi="Calibri" w:cs="Calibri"/>
          <w:b/>
          <w:sz w:val="19"/>
          <w:szCs w:val="19"/>
        </w:rPr>
      </w:pPr>
    </w:p>
    <w:p w:rsidR="00A716FF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sz w:val="19"/>
          <w:szCs w:val="19"/>
        </w:rPr>
      </w:pPr>
    </w:p>
    <w:p w:rsidR="00A716FF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sz w:val="19"/>
          <w:szCs w:val="19"/>
        </w:rPr>
      </w:pPr>
    </w:p>
    <w:p w:rsidR="00A716FF" w:rsidRPr="00E20662" w:rsidRDefault="00A716FF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20558F" w:rsidRPr="00E20662" w:rsidRDefault="0020558F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20558F" w:rsidRPr="00E20662" w:rsidRDefault="0020558F" w:rsidP="00D902CA">
      <w:pPr>
        <w:spacing w:after="0" w:line="240" w:lineRule="auto"/>
        <w:jc w:val="center"/>
        <w:rPr>
          <w:rFonts w:ascii="Calibri" w:hAnsi="Calibri" w:cs="Calibri"/>
          <w:b/>
          <w:noProof/>
          <w:sz w:val="19"/>
          <w:szCs w:val="19"/>
          <w:lang w:eastAsia="pl-PL"/>
        </w:rPr>
      </w:pPr>
    </w:p>
    <w:p w:rsidR="0020558F" w:rsidRPr="00E20662" w:rsidRDefault="0020558F" w:rsidP="009F1975">
      <w:pPr>
        <w:spacing w:after="0" w:line="240" w:lineRule="auto"/>
        <w:rPr>
          <w:rFonts w:ascii="Calibri" w:hAnsi="Calibri" w:cs="Calibri"/>
          <w:b/>
          <w:sz w:val="19"/>
          <w:szCs w:val="19"/>
        </w:rPr>
      </w:pPr>
    </w:p>
    <w:p w:rsidR="00DB66D5" w:rsidRPr="00E20662" w:rsidRDefault="00DB66D5" w:rsidP="00D902CA">
      <w:pPr>
        <w:spacing w:after="0" w:line="240" w:lineRule="auto"/>
        <w:rPr>
          <w:rFonts w:ascii="Calibri" w:hAnsi="Calibri" w:cs="Calibri"/>
          <w:b/>
          <w:sz w:val="19"/>
          <w:szCs w:val="19"/>
        </w:rPr>
      </w:pPr>
    </w:p>
    <w:p w:rsidR="00197C87" w:rsidRPr="00E20662" w:rsidRDefault="00197C87" w:rsidP="00D902CA">
      <w:pPr>
        <w:spacing w:after="0" w:line="240" w:lineRule="auto"/>
        <w:rPr>
          <w:rFonts w:ascii="Calibri" w:hAnsi="Calibri" w:cs="Calibri"/>
          <w:b/>
          <w:sz w:val="19"/>
          <w:szCs w:val="19"/>
        </w:rPr>
      </w:pPr>
    </w:p>
    <w:p w:rsidR="00DB66D5" w:rsidRPr="00E20662" w:rsidRDefault="00DB66D5" w:rsidP="00D902CA">
      <w:pPr>
        <w:spacing w:after="0" w:line="240" w:lineRule="auto"/>
        <w:rPr>
          <w:rFonts w:ascii="Calibri" w:hAnsi="Calibri" w:cs="Calibri"/>
          <w:b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94"/>
        <w:gridCol w:w="1417"/>
        <w:gridCol w:w="1510"/>
        <w:gridCol w:w="568"/>
        <w:gridCol w:w="187"/>
        <w:gridCol w:w="854"/>
        <w:gridCol w:w="2126"/>
      </w:tblGrid>
      <w:tr w:rsidR="00E20662" w:rsidRPr="00E20662" w:rsidTr="003B1070">
        <w:trPr>
          <w:trHeight w:val="416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CZĘŚĆ OGÓLNA</w:t>
            </w:r>
          </w:p>
        </w:tc>
      </w:tr>
      <w:tr w:rsidR="00E20662" w:rsidRPr="00E20662" w:rsidTr="003B1070">
        <w:trPr>
          <w:cantSplit/>
          <w:trHeight w:val="421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3B107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DANE IDENTYFIKACYJNE I KONTAKTOWE DEWELOPERA</w:t>
            </w:r>
          </w:p>
        </w:tc>
      </w:tr>
      <w:tr w:rsidR="00E20662" w:rsidRPr="00E20662" w:rsidTr="003B1070">
        <w:trPr>
          <w:cantSplit/>
          <w:trHeight w:val="413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jc w:val="center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DANE DEWELOPERA</w:t>
            </w:r>
          </w:p>
        </w:tc>
      </w:tr>
      <w:tr w:rsidR="00E20662" w:rsidRPr="00E20662" w:rsidTr="00D902CA">
        <w:trPr>
          <w:trHeight w:val="598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Deweloper</w:t>
            </w:r>
          </w:p>
        </w:tc>
        <w:tc>
          <w:tcPr>
            <w:tcW w:w="6662" w:type="dxa"/>
            <w:gridSpan w:val="6"/>
            <w:vAlign w:val="center"/>
          </w:tcPr>
          <w:p w:rsidR="00A716FF" w:rsidRPr="00E20662" w:rsidRDefault="008D765D" w:rsidP="00D902CA">
            <w:pPr>
              <w:rPr>
                <w:rFonts w:ascii="Calibri" w:hAnsi="Calibri" w:cs="Calibri"/>
                <w:sz w:val="19"/>
                <w:szCs w:val="19"/>
              </w:rPr>
            </w:pPr>
            <w:bookmarkStart w:id="1" w:name="_Hlk8819426"/>
            <w:r w:rsidRPr="00E20662">
              <w:rPr>
                <w:rFonts w:ascii="Calibri" w:hAnsi="Calibri" w:cs="Calibri"/>
                <w:sz w:val="19"/>
                <w:szCs w:val="19"/>
              </w:rPr>
              <w:t xml:space="preserve">EKO-INVEST PLUS </w:t>
            </w:r>
            <w:r w:rsidR="00A716FF" w:rsidRPr="00E20662">
              <w:rPr>
                <w:rFonts w:ascii="Calibri" w:hAnsi="Calibri" w:cs="Calibri"/>
                <w:sz w:val="19"/>
                <w:szCs w:val="19"/>
              </w:rPr>
              <w:t>Spółka z ograniczoną odpowiedzialnością</w:t>
            </w:r>
          </w:p>
          <w:p w:rsidR="00DB66D5" w:rsidRPr="00E20662" w:rsidRDefault="00DB66D5" w:rsidP="008D765D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Wpisana do rejestru przedsiębiorców przez Sąd Rejonowy w Kielcach, X Wydział Gospodarczy Krajowego Rejestru Sądowego pod numerem KRS: </w:t>
            </w:r>
            <w:bookmarkEnd w:id="1"/>
            <w:r w:rsidR="008D765D" w:rsidRPr="00E20662">
              <w:rPr>
                <w:rFonts w:ascii="Calibri" w:hAnsi="Calibri" w:cs="Calibri"/>
                <w:sz w:val="19"/>
                <w:szCs w:val="19"/>
              </w:rPr>
              <w:t>0000904722</w:t>
            </w:r>
          </w:p>
        </w:tc>
      </w:tr>
      <w:tr w:rsidR="00E20662" w:rsidRPr="00E20662" w:rsidTr="00D902CA">
        <w:trPr>
          <w:trHeight w:val="598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Adres</w:t>
            </w:r>
          </w:p>
        </w:tc>
        <w:tc>
          <w:tcPr>
            <w:tcW w:w="6662" w:type="dxa"/>
            <w:gridSpan w:val="6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ul. Batalionów Chłopskich 5A, 25-671 Kielce</w:t>
            </w:r>
          </w:p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Biuro: Al. Solidarności 21B</w:t>
            </w:r>
          </w:p>
        </w:tc>
      </w:tr>
      <w:tr w:rsidR="00E20662" w:rsidRPr="00E20662" w:rsidTr="003B1070">
        <w:trPr>
          <w:trHeight w:val="427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NIP, REGON</w:t>
            </w:r>
          </w:p>
        </w:tc>
        <w:tc>
          <w:tcPr>
            <w:tcW w:w="6662" w:type="dxa"/>
            <w:gridSpan w:val="6"/>
            <w:vAlign w:val="center"/>
          </w:tcPr>
          <w:p w:rsidR="00DB66D5" w:rsidRPr="00E20662" w:rsidRDefault="00DB66D5" w:rsidP="008D765D">
            <w:pPr>
              <w:rPr>
                <w:rFonts w:ascii="Calibri" w:hAnsi="Calibri" w:cs="Calibri"/>
                <w:sz w:val="19"/>
                <w:szCs w:val="19"/>
              </w:rPr>
            </w:pPr>
            <w:bookmarkStart w:id="2" w:name="_Hlk8819479"/>
            <w:r w:rsidRPr="00E20662">
              <w:rPr>
                <w:rFonts w:ascii="Calibri" w:hAnsi="Calibri" w:cs="Calibri"/>
                <w:sz w:val="19"/>
                <w:szCs w:val="19"/>
              </w:rPr>
              <w:t xml:space="preserve">NIP: </w:t>
            </w:r>
            <w:r w:rsidR="008D765D" w:rsidRPr="00E20662">
              <w:rPr>
                <w:rFonts w:ascii="Calibri" w:hAnsi="Calibri" w:cs="Calibri"/>
                <w:sz w:val="19"/>
                <w:szCs w:val="19"/>
              </w:rPr>
              <w:t>959 204 31 36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           REGON: </w:t>
            </w:r>
            <w:bookmarkEnd w:id="2"/>
            <w:r w:rsidR="008D765D" w:rsidRPr="00E20662">
              <w:rPr>
                <w:rFonts w:ascii="Calibri" w:hAnsi="Calibri" w:cs="Calibri"/>
                <w:sz w:val="19"/>
                <w:szCs w:val="19"/>
              </w:rPr>
              <w:t>389106062</w:t>
            </w:r>
          </w:p>
        </w:tc>
      </w:tr>
      <w:tr w:rsidR="00E20662" w:rsidRPr="00E20662" w:rsidTr="003B1070">
        <w:trPr>
          <w:trHeight w:val="404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Numer telefonu</w:t>
            </w:r>
          </w:p>
        </w:tc>
        <w:tc>
          <w:tcPr>
            <w:tcW w:w="6662" w:type="dxa"/>
            <w:gridSpan w:val="6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607 083 000</w:t>
            </w:r>
          </w:p>
        </w:tc>
      </w:tr>
      <w:tr w:rsidR="00E20662" w:rsidRPr="00E20662" w:rsidTr="003B1070">
        <w:trPr>
          <w:trHeight w:val="424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Adres poczty elektronicznej</w:t>
            </w:r>
          </w:p>
        </w:tc>
        <w:tc>
          <w:tcPr>
            <w:tcW w:w="6662" w:type="dxa"/>
            <w:gridSpan w:val="6"/>
            <w:vAlign w:val="center"/>
          </w:tcPr>
          <w:p w:rsidR="00DB66D5" w:rsidRPr="00E20662" w:rsidRDefault="00A716FF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k.walentynowicz@eko-invest.net</w:t>
            </w:r>
          </w:p>
        </w:tc>
      </w:tr>
      <w:tr w:rsidR="00E20662" w:rsidRPr="00E20662" w:rsidTr="003B1070">
        <w:trPr>
          <w:trHeight w:val="416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Numer faksu</w:t>
            </w:r>
          </w:p>
        </w:tc>
        <w:tc>
          <w:tcPr>
            <w:tcW w:w="6662" w:type="dxa"/>
            <w:gridSpan w:val="6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Brak</w:t>
            </w:r>
          </w:p>
        </w:tc>
      </w:tr>
      <w:tr w:rsidR="00E20662" w:rsidRPr="00E20662" w:rsidTr="003B1070">
        <w:trPr>
          <w:trHeight w:val="409"/>
        </w:trPr>
        <w:tc>
          <w:tcPr>
            <w:tcW w:w="3114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Adres strony internetowej</w:t>
            </w:r>
          </w:p>
        </w:tc>
        <w:tc>
          <w:tcPr>
            <w:tcW w:w="6662" w:type="dxa"/>
            <w:gridSpan w:val="6"/>
            <w:vAlign w:val="center"/>
          </w:tcPr>
          <w:p w:rsidR="00DB66D5" w:rsidRPr="00E20662" w:rsidRDefault="00A716FF" w:rsidP="008D765D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https://www.</w:t>
            </w:r>
            <w:r w:rsidR="008D765D" w:rsidRPr="00E20662">
              <w:rPr>
                <w:rFonts w:ascii="Calibri" w:hAnsi="Calibri" w:cs="Calibri"/>
                <w:sz w:val="19"/>
                <w:szCs w:val="19"/>
              </w:rPr>
              <w:t>eko-invest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.net/</w:t>
            </w:r>
          </w:p>
        </w:tc>
      </w:tr>
      <w:tr w:rsidR="00E20662" w:rsidRPr="00E20662" w:rsidTr="003B1070">
        <w:trPr>
          <w:trHeight w:val="356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DOŚWIADCZENIE DEWELOPERA</w:t>
            </w:r>
          </w:p>
        </w:tc>
      </w:tr>
      <w:tr w:rsidR="00E20662" w:rsidRPr="00E20662" w:rsidTr="00D902CA">
        <w:tc>
          <w:tcPr>
            <w:tcW w:w="9776" w:type="dxa"/>
            <w:gridSpan w:val="8"/>
          </w:tcPr>
          <w:p w:rsidR="00021822" w:rsidRPr="00E20662" w:rsidRDefault="008D765D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EKO-INVEST PLUS</w:t>
            </w:r>
            <w:r w:rsidR="00A716FF" w:rsidRPr="00E20662">
              <w:rPr>
                <w:rFonts w:ascii="Calibri" w:hAnsi="Calibri" w:cs="Calibri"/>
                <w:sz w:val="19"/>
                <w:szCs w:val="19"/>
              </w:rPr>
              <w:t xml:space="preserve"> Sp. z o.o. </w:t>
            </w:r>
            <w:r w:rsidR="00DB66D5" w:rsidRPr="00E20662">
              <w:rPr>
                <w:rFonts w:ascii="Calibri" w:hAnsi="Calibri" w:cs="Calibri"/>
                <w:sz w:val="19"/>
                <w:szCs w:val="19"/>
              </w:rPr>
              <w:t>jest spółką celową utworzoną dla przedmiotowego przedsięwzięcia deweloperskiego</w:t>
            </w:r>
            <w:r w:rsidR="00021822"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A716FF" w:rsidRPr="00E20662">
              <w:rPr>
                <w:rFonts w:ascii="Calibri" w:hAnsi="Calibri" w:cs="Calibri"/>
                <w:sz w:val="19"/>
                <w:szCs w:val="19"/>
              </w:rPr>
              <w:t>„</w:t>
            </w:r>
            <w:r w:rsidR="00823BF6">
              <w:rPr>
                <w:rFonts w:ascii="Calibri" w:hAnsi="Calibri" w:cs="Calibri"/>
                <w:sz w:val="19"/>
                <w:szCs w:val="19"/>
              </w:rPr>
              <w:t>Przy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Dolin</w:t>
            </w:r>
            <w:r w:rsidR="00823BF6">
              <w:rPr>
                <w:rFonts w:ascii="Calibri" w:hAnsi="Calibri" w:cs="Calibri"/>
                <w:sz w:val="19"/>
                <w:szCs w:val="19"/>
              </w:rPr>
              <w:t>ie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”</w:t>
            </w:r>
          </w:p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Władze spółki posiadają bogate, wieloletnie doświadczanie w realizacji projektów mieszkaniowych.</w:t>
            </w:r>
          </w:p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Prezes Zarządu - Marcin Kowalski jest również Prezesem Zarządu EKO-INVEST Sp. z o.o., która od wielu lat z powodzeniem realizuje inwestycje deweloperskie na terenie Kielc oraz jest Generalnym Wykonawcą szeregu inwestycji budowlanych na terenie województwa świętokrzyskiego oraz mazowieckiego</w:t>
            </w:r>
            <w:r w:rsidR="00021822" w:rsidRPr="00E20662">
              <w:rPr>
                <w:rFonts w:ascii="Calibri" w:hAnsi="Calibri" w:cs="Calibri"/>
                <w:sz w:val="19"/>
                <w:szCs w:val="19"/>
              </w:rPr>
              <w:t xml:space="preserve"> w tym inwestycji </w:t>
            </w:r>
            <w:r w:rsidR="00CB4443" w:rsidRPr="00E20662">
              <w:rPr>
                <w:rFonts w:ascii="Calibri" w:hAnsi="Calibri" w:cs="Calibri"/>
                <w:sz w:val="19"/>
                <w:szCs w:val="19"/>
              </w:rPr>
              <w:t xml:space="preserve">„Apartamenty Centrum”, „Zamieszkaj na Wspólnej”, </w:t>
            </w:r>
            <w:r w:rsidR="00021822" w:rsidRPr="00E20662">
              <w:rPr>
                <w:rFonts w:ascii="Calibri" w:hAnsi="Calibri" w:cs="Calibri"/>
                <w:sz w:val="19"/>
                <w:szCs w:val="19"/>
              </w:rPr>
              <w:t>LOTNICZA EKOPAK etap I i II.</w:t>
            </w:r>
          </w:p>
        </w:tc>
      </w:tr>
      <w:tr w:rsidR="00E20662" w:rsidRPr="00E20662" w:rsidTr="003B1070">
        <w:trPr>
          <w:trHeight w:val="438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PRZYKŁAD UKOŃCZONEGO PRZEDSIĘWZIĘCIA DEWELOPERSKIEGO </w:t>
            </w: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Adres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Data rozpoczęcia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Data wydania ostatecznego pozwolenia na użytkowanie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3B1070">
        <w:trPr>
          <w:trHeight w:val="384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PRZYKŁAD UKOŃCZONEGO PRZEDSIĘWZIĘCIA DEWELOPERSKIEGO</w:t>
            </w: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Adres 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Data rozpoczęcia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Data wydania ostatecznego pozwolenia na użytkowanie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3B1070">
        <w:trPr>
          <w:trHeight w:val="387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PRZYKŁAD UKOŃCZONEGO PRZEDSIĘWZIĘCIA DEWELOPERSKIEGO</w:t>
            </w: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Adres 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Data rozpoczęcia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453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Data wydania ostatecznego pozwolenia na użytkowanie</w:t>
            </w:r>
          </w:p>
        </w:tc>
        <w:tc>
          <w:tcPr>
            <w:tcW w:w="5245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c>
          <w:tcPr>
            <w:tcW w:w="4531" w:type="dxa"/>
            <w:gridSpan w:val="3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Czy przeciwko deweloperowi prowadzono (lub prowadzi się) postępowania egzekucyjne na kwotę powyżej 100.000 zł</w:t>
            </w:r>
          </w:p>
        </w:tc>
        <w:tc>
          <w:tcPr>
            <w:tcW w:w="5245" w:type="dxa"/>
            <w:gridSpan w:val="5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NIE</w:t>
            </w:r>
          </w:p>
          <w:p w:rsidR="005468D4" w:rsidRPr="00E20662" w:rsidRDefault="005468D4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  <w:p w:rsidR="000005A9" w:rsidRPr="00E20662" w:rsidRDefault="000005A9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  <w:p w:rsidR="005468D4" w:rsidRPr="00E20662" w:rsidRDefault="005468D4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902CA"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INFORMACJE DOTYCZĄCE NIERUCHOMOŚCI I PRZEDSIĘWZIĘCIA DEWELOPERSKIEGO</w:t>
            </w:r>
          </w:p>
        </w:tc>
      </w:tr>
      <w:tr w:rsidR="00E20662" w:rsidRPr="00E20662" w:rsidTr="00D902CA">
        <w:trPr>
          <w:trHeight w:val="433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INFORMACJE DOTYCZĄCE GRUNTU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Adres i numer działki ewidencyjnej</w:t>
            </w:r>
          </w:p>
        </w:tc>
        <w:tc>
          <w:tcPr>
            <w:tcW w:w="6756" w:type="dxa"/>
            <w:gridSpan w:val="7"/>
            <w:vAlign w:val="center"/>
          </w:tcPr>
          <w:p w:rsidR="00722871" w:rsidRPr="00E20662" w:rsidRDefault="00722871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KIELCE, UL. </w:t>
            </w:r>
            <w:r w:rsidR="008D765D" w:rsidRPr="00E20662">
              <w:rPr>
                <w:rFonts w:ascii="Calibri" w:hAnsi="Calibri" w:cs="Calibri"/>
                <w:b/>
                <w:sz w:val="19"/>
                <w:szCs w:val="19"/>
              </w:rPr>
              <w:t>OKRZEI</w:t>
            </w:r>
            <w:r w:rsidR="00A716FF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(działki nr</w:t>
            </w:r>
            <w:r w:rsidR="008D765D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66/1, 67/2, 61/2, 66/2, 208/52</w:t>
            </w:r>
            <w:r w:rsidR="000E2C7C" w:rsidRPr="00E20662">
              <w:rPr>
                <w:rFonts w:ascii="Calibri" w:hAnsi="Calibri" w:cs="Calibri"/>
                <w:b/>
                <w:sz w:val="19"/>
                <w:szCs w:val="19"/>
              </w:rPr>
              <w:t>)</w:t>
            </w:r>
          </w:p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Nr księgi wieczystej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8D765D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Istniejące obciążenia hipoteczne nieruchomości lub wnioski o wpis w dziale czwartym księgi wieczystej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BRAK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W przypadku braku księgi wieczystej o powierzchni działki i stanie prawnym nieruchomości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NIE DOTYCZY</w:t>
            </w:r>
          </w:p>
        </w:tc>
      </w:tr>
      <w:tr w:rsidR="00E20662" w:rsidRPr="00E20662" w:rsidTr="00D902CA">
        <w:trPr>
          <w:trHeight w:val="665"/>
        </w:trPr>
        <w:tc>
          <w:tcPr>
            <w:tcW w:w="3020" w:type="dxa"/>
            <w:vMerge w:val="restart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Plan zagospodarowania przestrzennego dla sąsiadujących działek</w:t>
            </w:r>
          </w:p>
        </w:tc>
        <w:tc>
          <w:tcPr>
            <w:tcW w:w="3021" w:type="dxa"/>
            <w:gridSpan w:val="3"/>
            <w:vAlign w:val="center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przeznaczenie w planie</w:t>
            </w:r>
          </w:p>
        </w:tc>
        <w:tc>
          <w:tcPr>
            <w:tcW w:w="3735" w:type="dxa"/>
            <w:gridSpan w:val="4"/>
            <w:vMerge w:val="restart"/>
            <w:vAlign w:val="center"/>
          </w:tcPr>
          <w:p w:rsidR="006C66C9" w:rsidRPr="00E20662" w:rsidRDefault="008D765D" w:rsidP="00A716FF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BRAK PLANU ZAGOSPODAROWANIA</w:t>
            </w:r>
            <w:r w:rsidR="00197C87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PRZESTRZENNEGO</w:t>
            </w:r>
          </w:p>
        </w:tc>
      </w:tr>
      <w:tr w:rsidR="00E20662" w:rsidRPr="00E20662" w:rsidTr="00D902CA">
        <w:trPr>
          <w:trHeight w:val="665"/>
        </w:trPr>
        <w:tc>
          <w:tcPr>
            <w:tcW w:w="3020" w:type="dxa"/>
            <w:vMerge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021" w:type="dxa"/>
            <w:gridSpan w:val="3"/>
            <w:vAlign w:val="center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dopuszczalna wysokość zabudowy</w:t>
            </w:r>
          </w:p>
        </w:tc>
        <w:tc>
          <w:tcPr>
            <w:tcW w:w="3735" w:type="dxa"/>
            <w:gridSpan w:val="4"/>
            <w:vMerge/>
            <w:vAlign w:val="center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665"/>
        </w:trPr>
        <w:tc>
          <w:tcPr>
            <w:tcW w:w="3020" w:type="dxa"/>
            <w:vMerge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021" w:type="dxa"/>
            <w:gridSpan w:val="3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dopuszczalny procent zabudowy działki</w:t>
            </w:r>
          </w:p>
        </w:tc>
        <w:tc>
          <w:tcPr>
            <w:tcW w:w="3735" w:type="dxa"/>
            <w:gridSpan w:val="4"/>
            <w:vMerge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E20662" w:rsidRPr="00E20662" w:rsidTr="00D902CA"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Informacje zawarte w publicznie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 xml:space="preserve">dostępnych dokumentach dotyczących przewidzianych inwestycji w promieniu 1 km od przedmiotowej nieruchomości, w szczególności o budowie lub rozbudowie dróg, budowie linii szynowych oraz przewidzianych korytarzach powietrznych, a także znanych innych </w:t>
            </w:r>
            <w:r w:rsidRPr="00E20662">
              <w:rPr>
                <w:rFonts w:ascii="Calibri" w:hAnsi="Calibri" w:cs="Calibri"/>
                <w:spacing w:val="-2"/>
                <w:sz w:val="19"/>
                <w:szCs w:val="19"/>
              </w:rPr>
              <w:t>inwestycjach komunalnych, w szcze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gólności oczyszczalniach ścieków, spalarniach śmieci, wysypiskach, cmentarzach</w:t>
            </w:r>
            <w:r w:rsidR="00D902CA"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Planowane inwestycje w promieniu 1 kilometra od przedmiotowej nieruchomości udostępnione do publicznej wiadomości:</w:t>
            </w:r>
          </w:p>
          <w:p w:rsidR="00DB66D5" w:rsidRPr="00E20662" w:rsidRDefault="00DB66D5" w:rsidP="00D902CA">
            <w:pPr>
              <w:jc w:val="both"/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Urząd Miasta Kielce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– </w:t>
            </w: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Pismo z dn</w:t>
            </w:r>
            <w:r w:rsidR="003B1070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.</w:t>
            </w: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 xml:space="preserve"> </w:t>
            </w:r>
            <w:r w:rsidR="00916B1B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28.03.2022</w:t>
            </w: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 xml:space="preserve"> r., znak </w:t>
            </w:r>
            <w:r w:rsidR="006C66C9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UA-I.6727.1</w:t>
            </w:r>
            <w:r w:rsidR="00916B1B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2.2022</w:t>
            </w:r>
            <w:r w:rsidR="006C66C9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.ASO</w:t>
            </w:r>
          </w:p>
          <w:p w:rsidR="006C66C9" w:rsidRPr="00E20662" w:rsidRDefault="006C66C9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Na przedmiotowym terenie nie przewiduje się budowy linii szynowych, oczyszczalni ścieków, spalarni śmieci, wysypisk i cmentarzy.</w:t>
            </w:r>
          </w:p>
          <w:p w:rsidR="006C66C9" w:rsidRPr="00E20662" w:rsidRDefault="006C66C9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Przewidywane inwestycje drogowe:</w:t>
            </w:r>
          </w:p>
          <w:p w:rsidR="006C66C9" w:rsidRPr="00E20662" w:rsidRDefault="006C66C9" w:rsidP="00916B1B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="00916B1B" w:rsidRPr="00E20662">
              <w:rPr>
                <w:rFonts w:ascii="Calibri" w:hAnsi="Calibri" w:cs="Calibri"/>
                <w:sz w:val="19"/>
                <w:szCs w:val="19"/>
              </w:rPr>
              <w:t>rozbudowa drogi krajowej nr 74 do parametrów drogi ekspresowej</w:t>
            </w:r>
            <w:r w:rsidR="00051608" w:rsidRPr="00E20662">
              <w:rPr>
                <w:rFonts w:ascii="Calibri" w:hAnsi="Calibri" w:cs="Calibri"/>
                <w:sz w:val="19"/>
                <w:szCs w:val="19"/>
              </w:rPr>
              <w:t xml:space="preserve"> z węzłami Olszewskiego, Zagnańska, Warszawska</w:t>
            </w:r>
          </w:p>
          <w:p w:rsidR="00051608" w:rsidRPr="00E20662" w:rsidRDefault="00051608" w:rsidP="00916B1B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- budowa węzła Mielczarskiego – 1 Maja – północna obwodnica Ślichowic</w:t>
            </w:r>
          </w:p>
          <w:p w:rsidR="00051608" w:rsidRPr="00E20662" w:rsidRDefault="00051608" w:rsidP="00916B1B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- przedłużenie ul. Pocieszka do ul. Zagnańskiej</w:t>
            </w:r>
          </w:p>
          <w:p w:rsidR="00A716FF" w:rsidRPr="00E20662" w:rsidRDefault="006C66C9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● Szereg ulic przewidzianych w miejscowych planach zagospodarowania przestrzennego:</w:t>
            </w:r>
          </w:p>
          <w:p w:rsidR="0061493A" w:rsidRPr="00E20662" w:rsidRDefault="006C66C9" w:rsidP="00051608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="00051608" w:rsidRPr="00E20662">
              <w:rPr>
                <w:rFonts w:ascii="Calibri" w:hAnsi="Calibri" w:cs="Calibri"/>
                <w:sz w:val="19"/>
                <w:szCs w:val="19"/>
              </w:rPr>
              <w:t xml:space="preserve"> Miejscowy plan zagospodarowania przestrzennego terenu „KIELCE PÓŁNOC – OBSZAR II – Zalew Kielecki – Klonowa – Piaski” uchwalony Uchwałą Nr XLIII/778/2013 Rady Miasta Kielce z dnia 13 kwietnia 2013 r. (Dz. Urz. Woj. Świętokrzyskiego 2013.2225 z dnia 21 maja 2013 r.)</w:t>
            </w:r>
          </w:p>
          <w:p w:rsidR="00051608" w:rsidRPr="00E20662" w:rsidRDefault="00051608" w:rsidP="00004962">
            <w:pPr>
              <w:jc w:val="both"/>
              <w:rPr>
                <w:rFonts w:ascii="Calibri" w:hAnsi="Calibri" w:cs="Calibri"/>
                <w:bCs/>
                <w:iCs/>
                <w:sz w:val="19"/>
                <w:szCs w:val="19"/>
              </w:rPr>
            </w:pP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 xml:space="preserve">- Miejscowy plan </w:t>
            </w:r>
            <w:r w:rsidR="00004962"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>zagospodarowania</w:t>
            </w: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 xml:space="preserve"> przestrzennego terenu „KIELCE-PÓLNOC-OBSZAR II.2:Centrum handlowo-usługowe u zbiegu ulic Zagnańskiej i Jesionowej” uchwalony Uchwałą Nr XLIX/858/2013 Rady Miasta Kielce z dnia 25 lipca 2013 r. (Dz. Urz. Woj. Świętokrzyskiego 2013.3072 z dnia</w:t>
            </w:r>
            <w:r w:rsidR="00004962"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 xml:space="preserve">sierpnia 2013 r.) wraz ze Zmianą nr 1 miejscowego planu </w:t>
            </w:r>
            <w:r w:rsidR="00004962"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>zagospodarowania</w:t>
            </w: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 xml:space="preserve"> przestrzennego terenu </w:t>
            </w:r>
            <w:r w:rsidR="00004962"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>„</w:t>
            </w: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 xml:space="preserve">KIELCE PÓŁNOC – OBSZAR II.2: Centrum handlowo – usługowe u zbiegu ulic Zagnańskiej i Jesionowej” na obszarze </w:t>
            </w:r>
            <w:r w:rsidR="00004962"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>miasta Kielce uchwaloną Uchwałą Nr XIX/1316/2018.3039 z dnia 4 września 2018 r.)</w:t>
            </w:r>
          </w:p>
          <w:p w:rsidR="00004962" w:rsidRPr="00E20662" w:rsidRDefault="00004962" w:rsidP="00004962">
            <w:pPr>
              <w:jc w:val="both"/>
              <w:rPr>
                <w:rFonts w:ascii="Calibri" w:hAnsi="Calibri" w:cs="Calibri"/>
                <w:bCs/>
                <w:iCs/>
                <w:sz w:val="19"/>
                <w:szCs w:val="19"/>
              </w:rPr>
            </w:pP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>- Miejscowy plan zagospodarowania przestrzennego terenu „Kielce Śródmieście – Obszar I.1.3 Czarnowska – Żelazna – PKS” uchwalony Uchwałą Nr XLIX/857/2013  z dnia 25 lipca 2013 r. (Dz. U. Woj. Świętokrzyskiego  2013.3071 z dnia 28 sierpnia 2013 r.)</w:t>
            </w:r>
          </w:p>
          <w:p w:rsidR="00004962" w:rsidRPr="00E20662" w:rsidRDefault="00004962" w:rsidP="00004962">
            <w:pPr>
              <w:jc w:val="both"/>
              <w:rPr>
                <w:rFonts w:ascii="Calibri" w:hAnsi="Calibri" w:cs="Calibri"/>
                <w:bCs/>
                <w:iCs/>
                <w:sz w:val="19"/>
                <w:szCs w:val="19"/>
              </w:rPr>
            </w:pPr>
            <w:r w:rsidRPr="00E20662">
              <w:rPr>
                <w:rFonts w:ascii="Calibri" w:hAnsi="Calibri" w:cs="Calibri"/>
                <w:bCs/>
                <w:iCs/>
                <w:sz w:val="19"/>
                <w:szCs w:val="19"/>
              </w:rPr>
              <w:t>- Miejscowy plan zagospodarowania przestrzennego terenu „KIELCE ŚRÓDMIEŚCIE-OBSZAR 2 – Bodzentyńska, Prezydenta Lecha Kaczyńskiego – IX Wieków Kielce” zatwierdzonego Uchwałą Nr XLI/854/2017 Rady Miasta Kielce z dnia 27 kwietnia 2017 r. (Dz. Urz. Woj. Świętokrzyskiego poz. 1910 z dnia 6 czerwca 2017 r.)</w:t>
            </w:r>
          </w:p>
          <w:p w:rsidR="0061493A" w:rsidRPr="00E20662" w:rsidRDefault="0061493A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  <w:p w:rsidR="00DB66D5" w:rsidRPr="00E20662" w:rsidRDefault="00DB66D5" w:rsidP="00D902CA">
            <w:pPr>
              <w:jc w:val="both"/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Miejski Zarząd Dróg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– </w:t>
            </w: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Pismo z dn</w:t>
            </w:r>
            <w:r w:rsidR="003B1070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.</w:t>
            </w:r>
            <w:r w:rsidR="00967919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 xml:space="preserve"> </w:t>
            </w:r>
            <w:r w:rsidR="00A30A76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19.04.</w:t>
            </w:r>
            <w:r w:rsidR="00992B24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2022</w:t>
            </w: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 xml:space="preserve"> r., znak </w:t>
            </w:r>
            <w:r w:rsidR="00992B24" w:rsidRPr="00E20662">
              <w:rPr>
                <w:rFonts w:ascii="Calibri" w:hAnsi="Calibri" w:cs="Calibri"/>
                <w:i/>
                <w:iCs/>
                <w:sz w:val="19"/>
                <w:szCs w:val="19"/>
                <w:u w:val="single"/>
              </w:rPr>
              <w:t>WR.4024.056.2022.RR</w:t>
            </w:r>
          </w:p>
          <w:p w:rsidR="00524DC3" w:rsidRPr="00E20662" w:rsidRDefault="00524DC3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Planowane inwestycje drogowe:</w:t>
            </w:r>
          </w:p>
          <w:p w:rsidR="00992B24" w:rsidRPr="00E20662" w:rsidRDefault="00992B24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1. Budowa odcinka ulicy KDL1 wraz ze skrzyżowaniem z ulicą KDD1 określonych w zmianie nr 1 MPZP „Kielce Północ – Obszar II.2 Centrum Handlowo-Usługowe u zbiegu ulic Zagnańskiej i Jesionowej;</w:t>
            </w:r>
          </w:p>
          <w:p w:rsidR="00992B24" w:rsidRPr="00E20662" w:rsidRDefault="00992B24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2. Rozbudowa drogi krajowej Nr 74 do parametrów drogi 2 jezdniowej klasy ekspresowej na odcinku przejścia przez Kielce (węzeł Kielce-Zachód/S7 – węzeł Bocianek/DK73 – inwestycja realizowana przez Generalną Dyrekcję Dróg Krajowych i Autostrad w Kielcach;</w:t>
            </w:r>
          </w:p>
          <w:p w:rsidR="00992B24" w:rsidRPr="00E20662" w:rsidRDefault="00992B24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3. Przebudowa ulicy Przelot w Kielcach na odcinku skrzyżowania z ulicą Wiosenną do nr porządkowego 12 (w kierunku zachodnim);</w:t>
            </w:r>
          </w:p>
          <w:p w:rsidR="00992B24" w:rsidRPr="00E20662" w:rsidRDefault="00992B24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4. Przebudowa ul. Targowej w Kielcach na odcinku od alei IX Wieków Kielc do ulicy Przechodniej.</w:t>
            </w:r>
          </w:p>
        </w:tc>
      </w:tr>
      <w:tr w:rsidR="00E20662" w:rsidRPr="00E20662" w:rsidTr="003B1070">
        <w:trPr>
          <w:trHeight w:val="449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INFORMACJE DOTYCZĄCE BUDYNKU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Czy jest pozwolenie na budowę</w:t>
            </w:r>
          </w:p>
        </w:tc>
        <w:tc>
          <w:tcPr>
            <w:tcW w:w="3776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TAK</w:t>
            </w:r>
          </w:p>
        </w:tc>
        <w:tc>
          <w:tcPr>
            <w:tcW w:w="2980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  <w:p w:rsidR="00DB66D5" w:rsidRPr="00E20662" w:rsidRDefault="00DB66D5" w:rsidP="00D902CA">
            <w:pPr>
              <w:rPr>
                <w:rFonts w:ascii="Calibri" w:hAnsi="Calibri" w:cs="Calibri"/>
                <w:b/>
                <w:strike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trike/>
                <w:sz w:val="19"/>
                <w:szCs w:val="19"/>
              </w:rPr>
              <w:t>NIE</w:t>
            </w:r>
          </w:p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Czy pozwolenie na budowę jest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ostateczne</w:t>
            </w:r>
          </w:p>
        </w:tc>
        <w:tc>
          <w:tcPr>
            <w:tcW w:w="3776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TAK</w:t>
            </w:r>
          </w:p>
        </w:tc>
        <w:tc>
          <w:tcPr>
            <w:tcW w:w="2980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trike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trike/>
                <w:sz w:val="19"/>
                <w:szCs w:val="19"/>
              </w:rPr>
              <w:t>NIE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Czy pozwolenie na budowę jest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zaskarżone</w:t>
            </w:r>
          </w:p>
        </w:tc>
        <w:tc>
          <w:tcPr>
            <w:tcW w:w="3776" w:type="dxa"/>
            <w:gridSpan w:val="5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trike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trike/>
                <w:sz w:val="19"/>
                <w:szCs w:val="19"/>
              </w:rPr>
              <w:t>TAK</w:t>
            </w:r>
          </w:p>
        </w:tc>
        <w:tc>
          <w:tcPr>
            <w:tcW w:w="2980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NIE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Nr pozwolenia na budowę oraz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nazwa organu, który je wydał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381D5B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Decyzja Nr </w:t>
            </w:r>
            <w:r w:rsidR="00381D5B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414/2021 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z </w:t>
            </w:r>
            <w:r w:rsidR="00381D5B" w:rsidRPr="00E20662">
              <w:rPr>
                <w:rFonts w:ascii="Calibri" w:hAnsi="Calibri" w:cs="Calibri"/>
                <w:b/>
                <w:sz w:val="19"/>
                <w:szCs w:val="19"/>
              </w:rPr>
              <w:t>29 października 2021</w:t>
            </w:r>
            <w:r w:rsidR="00D15401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r., wydana przez Prezydenta Miasta Kielce, która stała się </w:t>
            </w:r>
            <w:r w:rsidR="007F51DA" w:rsidRPr="00E20662">
              <w:rPr>
                <w:rFonts w:ascii="Calibri" w:hAnsi="Calibri" w:cs="Calibri"/>
                <w:b/>
                <w:sz w:val="19"/>
                <w:szCs w:val="19"/>
              </w:rPr>
              <w:t>ostateczna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w dniu </w:t>
            </w:r>
            <w:r w:rsidR="00381D5B" w:rsidRPr="00E20662">
              <w:rPr>
                <w:rFonts w:ascii="Calibri" w:hAnsi="Calibri" w:cs="Calibri"/>
                <w:b/>
                <w:sz w:val="19"/>
                <w:szCs w:val="19"/>
              </w:rPr>
              <w:t>08 grudnia 2021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r.</w:t>
            </w:r>
            <w:r w:rsidR="009F35A4" w:rsidRPr="00E20662">
              <w:rPr>
                <w:rFonts w:ascii="Calibri" w:hAnsi="Calibri" w:cs="Calibri"/>
                <w:b/>
                <w:sz w:val="19"/>
                <w:szCs w:val="19"/>
              </w:rPr>
              <w:t>, przeniesiona Decyzją</w:t>
            </w:r>
            <w:r w:rsidR="00381D5B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Nr 42/I/2022 z dnia 29 kwietnia 2022 </w:t>
            </w:r>
            <w:r w:rsidR="009F35A4" w:rsidRPr="00E20662">
              <w:rPr>
                <w:rFonts w:ascii="Calibri" w:hAnsi="Calibri" w:cs="Calibri"/>
                <w:b/>
                <w:sz w:val="19"/>
                <w:szCs w:val="19"/>
              </w:rPr>
              <w:t>r</w:t>
            </w:r>
            <w:r w:rsidR="00381D5B" w:rsidRPr="00E20662">
              <w:rPr>
                <w:rFonts w:ascii="Calibri" w:hAnsi="Calibri" w:cs="Calibri"/>
                <w:b/>
                <w:sz w:val="19"/>
                <w:szCs w:val="19"/>
              </w:rPr>
              <w:t>. znak UA-IV.6740.4.121.2022.DG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Planowany termin rozpoczęcia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i zakończenia prac budowlanych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197C87" w:rsidP="00DE495D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0</w:t>
            </w:r>
            <w:r w:rsidR="00DB1423">
              <w:rPr>
                <w:rFonts w:ascii="Calibri" w:hAnsi="Calibri" w:cs="Calibri"/>
                <w:b/>
                <w:sz w:val="19"/>
                <w:szCs w:val="19"/>
              </w:rPr>
              <w:t>4</w:t>
            </w:r>
            <w:r w:rsidR="00DE495D" w:rsidRPr="00E20662">
              <w:rPr>
                <w:rFonts w:ascii="Calibri" w:hAnsi="Calibri" w:cs="Calibri"/>
                <w:b/>
                <w:sz w:val="19"/>
                <w:szCs w:val="19"/>
              </w:rPr>
              <w:t>.</w:t>
            </w:r>
            <w:r w:rsidR="00DB66D5" w:rsidRPr="00E20662">
              <w:rPr>
                <w:rFonts w:ascii="Calibri" w:hAnsi="Calibri" w:cs="Calibri"/>
                <w:b/>
                <w:sz w:val="19"/>
                <w:szCs w:val="19"/>
              </w:rPr>
              <w:t>20</w:t>
            </w:r>
            <w:r w:rsidR="007F51DA" w:rsidRPr="00E20662">
              <w:rPr>
                <w:rFonts w:ascii="Calibri" w:hAnsi="Calibri" w:cs="Calibri"/>
                <w:b/>
                <w:sz w:val="19"/>
                <w:szCs w:val="19"/>
              </w:rPr>
              <w:t>2</w:t>
            </w:r>
            <w:r w:rsidR="00DB1423">
              <w:rPr>
                <w:rFonts w:ascii="Calibri" w:hAnsi="Calibri" w:cs="Calibri"/>
                <w:b/>
                <w:sz w:val="19"/>
                <w:szCs w:val="19"/>
              </w:rPr>
              <w:t>3</w:t>
            </w:r>
            <w:r w:rsidR="00DB66D5" w:rsidRPr="00E20662">
              <w:rPr>
                <w:rFonts w:ascii="Calibri" w:hAnsi="Calibri" w:cs="Calibri"/>
                <w:b/>
                <w:sz w:val="19"/>
                <w:szCs w:val="19"/>
              </w:rPr>
              <w:t>–</w:t>
            </w:r>
            <w:r w:rsidR="00A716FF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DB1423">
              <w:rPr>
                <w:rFonts w:ascii="Calibri" w:hAnsi="Calibri" w:cs="Calibri"/>
                <w:b/>
                <w:sz w:val="19"/>
                <w:szCs w:val="19"/>
              </w:rPr>
              <w:t>0</w:t>
            </w:r>
            <w:r w:rsidR="004A3B6A">
              <w:rPr>
                <w:rFonts w:ascii="Calibri" w:hAnsi="Calibri" w:cs="Calibri"/>
                <w:b/>
                <w:sz w:val="19"/>
                <w:szCs w:val="19"/>
              </w:rPr>
              <w:t>7</w:t>
            </w:r>
            <w:r w:rsidR="00DB1423">
              <w:rPr>
                <w:rFonts w:ascii="Calibri" w:hAnsi="Calibri" w:cs="Calibri"/>
                <w:b/>
                <w:sz w:val="19"/>
                <w:szCs w:val="19"/>
              </w:rPr>
              <w:t>.2024</w:t>
            </w:r>
            <w:r w:rsidR="00916B1B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DB66D5" w:rsidRPr="00E20662">
              <w:rPr>
                <w:rFonts w:ascii="Calibri" w:hAnsi="Calibri" w:cs="Calibri"/>
                <w:b/>
                <w:sz w:val="19"/>
                <w:szCs w:val="19"/>
              </w:rPr>
              <w:t>r.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Termin, do którego nastąpi przeniesienie własności nieruchomości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4A3B6A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31.01.2025</w:t>
            </w:r>
            <w:r w:rsidR="00A716FF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DB66D5" w:rsidRPr="00E20662">
              <w:rPr>
                <w:rFonts w:ascii="Calibri" w:hAnsi="Calibri" w:cs="Calibri"/>
                <w:b/>
                <w:sz w:val="19"/>
                <w:szCs w:val="19"/>
              </w:rPr>
              <w:t>r.</w:t>
            </w:r>
          </w:p>
        </w:tc>
      </w:tr>
      <w:tr w:rsidR="00E20662" w:rsidRPr="00E20662" w:rsidTr="00D902CA">
        <w:trPr>
          <w:trHeight w:val="577"/>
        </w:trPr>
        <w:tc>
          <w:tcPr>
            <w:tcW w:w="3020" w:type="dxa"/>
            <w:vMerge w:val="restart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Opis przedsięwzięcia deweloperskiego</w:t>
            </w:r>
          </w:p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3589" w:type="dxa"/>
            <w:gridSpan w:val="4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Liczba budynków</w:t>
            </w:r>
          </w:p>
        </w:tc>
        <w:tc>
          <w:tcPr>
            <w:tcW w:w="3167" w:type="dxa"/>
            <w:gridSpan w:val="3"/>
            <w:vAlign w:val="center"/>
          </w:tcPr>
          <w:p w:rsidR="00DB66D5" w:rsidRPr="00E20662" w:rsidRDefault="00A716FF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I</w:t>
            </w:r>
          </w:p>
        </w:tc>
      </w:tr>
      <w:tr w:rsidR="00E20662" w:rsidRPr="00E20662" w:rsidTr="00197C87">
        <w:trPr>
          <w:trHeight w:val="774"/>
        </w:trPr>
        <w:tc>
          <w:tcPr>
            <w:tcW w:w="3020" w:type="dxa"/>
            <w:vMerge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3589" w:type="dxa"/>
            <w:gridSpan w:val="4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Rozmieszczenie ich na nieruchomości (należy podać minimalny odstęp pomiędzy budynkami)</w:t>
            </w:r>
          </w:p>
        </w:tc>
        <w:tc>
          <w:tcPr>
            <w:tcW w:w="3167" w:type="dxa"/>
            <w:gridSpan w:val="3"/>
            <w:vAlign w:val="center"/>
          </w:tcPr>
          <w:p w:rsidR="00DB66D5" w:rsidRPr="00E20662" w:rsidRDefault="00A716FF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NIE DOTYCZY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Sposób pomiaru powierzchni lokalu mieszkalnego lub domu jednorodzinnego</w:t>
            </w:r>
          </w:p>
        </w:tc>
        <w:tc>
          <w:tcPr>
            <w:tcW w:w="6756" w:type="dxa"/>
            <w:gridSpan w:val="7"/>
          </w:tcPr>
          <w:p w:rsidR="00DB66D5" w:rsidRPr="00E20662" w:rsidRDefault="00197C87" w:rsidP="00197C87">
            <w:pPr>
              <w:spacing w:before="100" w:beforeAutospacing="1" w:after="100" w:afterAutospacing="1"/>
              <w:outlineLvl w:val="0"/>
              <w:rPr>
                <w:rFonts w:cs="Calibri"/>
                <w:bCs/>
                <w:kern w:val="36"/>
                <w:sz w:val="19"/>
                <w:szCs w:val="19"/>
                <w:lang w:eastAsia="pl-PL"/>
              </w:rPr>
            </w:pPr>
            <w:r w:rsidRPr="00E20662">
              <w:rPr>
                <w:rFonts w:cs="Calibri"/>
                <w:bCs/>
                <w:kern w:val="36"/>
                <w:sz w:val="19"/>
                <w:szCs w:val="19"/>
                <w:lang w:eastAsia="pl-PL"/>
              </w:rPr>
              <w:t>PN-ISO 9836:2015-12 Właściwości użytkowe w budownictwie - Określanie i obliczanie wskaźników powierzchniowych i kubaturowych</w:t>
            </w:r>
          </w:p>
        </w:tc>
      </w:tr>
      <w:tr w:rsidR="00E20662" w:rsidRPr="00E20662" w:rsidTr="00D902CA">
        <w:trPr>
          <w:trHeight w:val="931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Zamierzony sposób i procentowy podział źródeł finansowania przedsięwzięcia deweloperskiego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ok. 20 % - środki własne </w:t>
            </w:r>
          </w:p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ok. 80 % - środki pochodzące z otwartego rachunku powierniczego</w:t>
            </w:r>
          </w:p>
          <w:p w:rsidR="004E2810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Na dzień sporządzania prospektu informacyjnego deweloper nie korzysta z kredytu na finansowanie nieruchomości.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Środki ochrony nabywców</w:t>
            </w:r>
          </w:p>
        </w:tc>
        <w:tc>
          <w:tcPr>
            <w:tcW w:w="3589" w:type="dxa"/>
            <w:gridSpan w:val="4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Bankowy rachunek powierni</w:t>
            </w:r>
            <w:r w:rsidR="00D902CA" w:rsidRPr="00E20662">
              <w:rPr>
                <w:rFonts w:ascii="Calibri" w:hAnsi="Calibri" w:cs="Calibri"/>
                <w:sz w:val="19"/>
                <w:szCs w:val="19"/>
              </w:rPr>
              <w:t xml:space="preserve">czy służący gromadzeniu środków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nabywcy</w:t>
            </w:r>
          </w:p>
        </w:tc>
        <w:tc>
          <w:tcPr>
            <w:tcW w:w="1041" w:type="dxa"/>
            <w:gridSpan w:val="2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otwarty</w:t>
            </w:r>
          </w:p>
        </w:tc>
        <w:tc>
          <w:tcPr>
            <w:tcW w:w="2126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trike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trike/>
                <w:sz w:val="19"/>
                <w:szCs w:val="19"/>
              </w:rPr>
              <w:t>zamknięty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Główne zasady funkcjonowania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wybranego rodzaju zabezpieczenia środków nabywcy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Bank wypłaci deweloperowi środki zgromadzone na otwartym mieszkaniowym rachunku powierniczym po stwierdzeniu zakończenia danego etapu realizacji przedsięwzięcia deweloperskiego.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Nazwa instytucji zapewniającej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bezpieczeństwo środków nabywcy</w:t>
            </w:r>
          </w:p>
        </w:tc>
        <w:tc>
          <w:tcPr>
            <w:tcW w:w="6756" w:type="dxa"/>
            <w:gridSpan w:val="7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Banki Polskiej Spółdzielczości S.A.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z siedzibą w Warszawie, 00-844 Warszawa, ul. Grzybowska 81, wpisanym przez Sąd Rejonowy dla m.st. Warszawy 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w Warszawie XII Wydział Gospodarczy do rejestru przedsiębiorców pod numerem KRS: 0000069229, NIP: 896-00-01-959, REGON: 930603359, o kapitale zakładowym w wysokości 354.096.542,00 zł, który został w pełni wpłacony.</w:t>
            </w:r>
          </w:p>
          <w:p w:rsidR="00DB66D5" w:rsidRPr="00E20662" w:rsidRDefault="00DB66D5" w:rsidP="00D902CA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Oddział w Kielcach, ul. Planty 8, 25-502 Kielce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Harmonogram przedsięwzięcia deweloperskiego 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DB66D5" w:rsidP="00E20662">
            <w:pPr>
              <w:rPr>
                <w:rFonts w:cs="Calibri"/>
                <w:sz w:val="20"/>
                <w:szCs w:val="20"/>
              </w:rPr>
            </w:pPr>
            <w:r w:rsidRPr="00E20662">
              <w:rPr>
                <w:rFonts w:cs="Calibri"/>
                <w:b/>
                <w:sz w:val="20"/>
                <w:szCs w:val="20"/>
              </w:rPr>
              <w:t xml:space="preserve">I etap </w:t>
            </w:r>
            <w:r w:rsidR="00D15401" w:rsidRPr="00E20662">
              <w:rPr>
                <w:rFonts w:cs="Calibri"/>
                <w:b/>
                <w:sz w:val="20"/>
                <w:szCs w:val="20"/>
              </w:rPr>
              <w:t>–</w:t>
            </w:r>
            <w:r w:rsidRPr="00E20662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D15401" w:rsidRPr="00E20662">
              <w:rPr>
                <w:rFonts w:cs="Calibri"/>
                <w:bCs/>
                <w:sz w:val="20"/>
                <w:szCs w:val="20"/>
              </w:rPr>
              <w:t>zakup nieruchomości,</w:t>
            </w:r>
            <w:r w:rsidR="00D15401" w:rsidRPr="00E20662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20662">
              <w:rPr>
                <w:rFonts w:cs="Calibri"/>
                <w:sz w:val="20"/>
                <w:szCs w:val="20"/>
              </w:rPr>
              <w:t xml:space="preserve">projekt, pozwolenie na budowę, zagospodarowanie placu budowy – </w:t>
            </w:r>
            <w:r w:rsidR="00D15401" w:rsidRPr="00E20662">
              <w:rPr>
                <w:rFonts w:cs="Calibri"/>
                <w:sz w:val="20"/>
                <w:szCs w:val="20"/>
              </w:rPr>
              <w:t xml:space="preserve">zrealizowany </w:t>
            </w:r>
            <w:r w:rsidR="00605466" w:rsidRPr="00E20662">
              <w:rPr>
                <w:rFonts w:cs="Calibri"/>
                <w:sz w:val="20"/>
                <w:szCs w:val="20"/>
              </w:rPr>
              <w:t xml:space="preserve">– </w:t>
            </w:r>
            <w:r w:rsidR="00605466" w:rsidRPr="00E20662">
              <w:rPr>
                <w:rFonts w:cs="Calibri"/>
                <w:b/>
                <w:bCs/>
                <w:sz w:val="20"/>
                <w:szCs w:val="20"/>
              </w:rPr>
              <w:t>20 %</w:t>
            </w:r>
          </w:p>
          <w:p w:rsidR="00DB66D5" w:rsidRPr="00E20662" w:rsidRDefault="00C21F69" w:rsidP="00E20662">
            <w:pPr>
              <w:rPr>
                <w:rFonts w:cs="Calibri"/>
                <w:sz w:val="20"/>
                <w:szCs w:val="20"/>
                <w:lang w:eastAsia="pl-PL"/>
              </w:rPr>
            </w:pPr>
            <w:r w:rsidRPr="00823BF6">
              <w:rPr>
                <w:rFonts w:cs="Calibri"/>
                <w:b/>
                <w:sz w:val="20"/>
                <w:szCs w:val="20"/>
              </w:rPr>
              <w:t>II</w:t>
            </w:r>
            <w:r w:rsidR="00DB66D5" w:rsidRPr="00823BF6">
              <w:rPr>
                <w:rFonts w:cs="Calibri"/>
                <w:b/>
                <w:sz w:val="20"/>
                <w:szCs w:val="20"/>
              </w:rPr>
              <w:t xml:space="preserve"> etap </w:t>
            </w:r>
            <w:r w:rsidR="00D15401" w:rsidRPr="00823BF6">
              <w:rPr>
                <w:rFonts w:cs="Calibri"/>
                <w:b/>
                <w:sz w:val="20"/>
                <w:szCs w:val="20"/>
              </w:rPr>
              <w:t>–</w:t>
            </w:r>
            <w:r w:rsidR="00DB66D5" w:rsidRPr="00823BF6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D15401" w:rsidRPr="00823BF6">
              <w:rPr>
                <w:rFonts w:cs="Calibri"/>
                <w:sz w:val="20"/>
                <w:szCs w:val="20"/>
              </w:rPr>
              <w:t>Wyk</w:t>
            </w:r>
            <w:r w:rsidR="00197C87" w:rsidRPr="00823BF6">
              <w:rPr>
                <w:rFonts w:cs="Calibri"/>
                <w:sz w:val="20"/>
                <w:szCs w:val="20"/>
              </w:rPr>
              <w:t>onanie stropu nad kondygnacją garażu</w:t>
            </w:r>
            <w:r w:rsidR="00D15401" w:rsidRPr="00823BF6">
              <w:rPr>
                <w:rFonts w:cs="Calibri"/>
                <w:sz w:val="20"/>
                <w:szCs w:val="20"/>
              </w:rPr>
              <w:t xml:space="preserve"> (przerwa technologiczna na dźwig)</w:t>
            </w:r>
            <w:r w:rsidR="00605466" w:rsidRPr="00823BF6">
              <w:rPr>
                <w:rFonts w:cs="Calibri"/>
                <w:sz w:val="20"/>
                <w:szCs w:val="20"/>
              </w:rPr>
              <w:t xml:space="preserve"> </w:t>
            </w:r>
            <w:r w:rsidR="00DB66D5" w:rsidRPr="00823BF6">
              <w:rPr>
                <w:rFonts w:cs="Calibri"/>
                <w:sz w:val="20"/>
                <w:szCs w:val="20"/>
                <w:lang w:eastAsia="pl-PL"/>
              </w:rPr>
              <w:t xml:space="preserve">– </w:t>
            </w:r>
            <w:r w:rsidR="00DB66D5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 xml:space="preserve">ok. </w:t>
            </w:r>
            <w:r w:rsidR="00DB1423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>30.0</w:t>
            </w:r>
            <w:r w:rsidR="004A3B6A">
              <w:rPr>
                <w:rFonts w:cs="Calibri"/>
                <w:b/>
                <w:bCs/>
                <w:sz w:val="20"/>
                <w:szCs w:val="20"/>
                <w:lang w:eastAsia="pl-PL"/>
              </w:rPr>
              <w:t>9</w:t>
            </w:r>
            <w:r w:rsidR="00DB1423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>.2023</w:t>
            </w:r>
            <w:r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DB66D5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>r.</w:t>
            </w:r>
            <w:r w:rsidR="00605466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 xml:space="preserve"> – 1</w:t>
            </w:r>
            <w:r w:rsidR="00652446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>5</w:t>
            </w:r>
            <w:r w:rsidR="00605466" w:rsidRPr="00823BF6">
              <w:rPr>
                <w:rFonts w:cs="Calibri"/>
                <w:b/>
                <w:bCs/>
                <w:sz w:val="20"/>
                <w:szCs w:val="20"/>
                <w:lang w:eastAsia="pl-PL"/>
              </w:rPr>
              <w:t xml:space="preserve"> %</w:t>
            </w:r>
            <w:r w:rsidR="00DB66D5" w:rsidRPr="00E20662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</w:p>
          <w:p w:rsidR="00E20662" w:rsidRDefault="00C21F69" w:rsidP="00E20662">
            <w:pPr>
              <w:rPr>
                <w:rFonts w:cs="Calibri"/>
                <w:b/>
                <w:bCs/>
                <w:sz w:val="20"/>
                <w:szCs w:val="20"/>
                <w:lang w:eastAsia="pl-PL"/>
              </w:rPr>
            </w:pPr>
            <w:r w:rsidRPr="00E20662">
              <w:rPr>
                <w:rFonts w:cs="Calibri"/>
                <w:b/>
                <w:sz w:val="20"/>
                <w:szCs w:val="20"/>
              </w:rPr>
              <w:t>III</w:t>
            </w:r>
            <w:r w:rsidR="00DB66D5" w:rsidRPr="00E20662">
              <w:rPr>
                <w:rFonts w:cs="Calibri"/>
                <w:b/>
                <w:sz w:val="20"/>
                <w:szCs w:val="20"/>
              </w:rPr>
              <w:t xml:space="preserve"> etap </w:t>
            </w:r>
            <w:r w:rsidR="00D15401" w:rsidRPr="00E20662">
              <w:rPr>
                <w:rFonts w:cs="Calibri"/>
                <w:b/>
                <w:sz w:val="20"/>
                <w:szCs w:val="20"/>
              </w:rPr>
              <w:t>–</w:t>
            </w:r>
            <w:r w:rsidR="00605466" w:rsidRPr="00E20662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  <w:r w:rsidR="00D15401" w:rsidRPr="00E20662">
              <w:rPr>
                <w:rFonts w:cs="Calibri"/>
                <w:sz w:val="20"/>
                <w:szCs w:val="20"/>
                <w:lang w:eastAsia="pl-PL"/>
              </w:rPr>
              <w:t>Wykonanie stropu nad I piętrem</w:t>
            </w:r>
            <w:r w:rsidR="005A1A6F" w:rsidRPr="00E20662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  <w:r w:rsidR="00492B98" w:rsidRPr="00E20662">
              <w:rPr>
                <w:rFonts w:cs="Calibri"/>
                <w:sz w:val="20"/>
                <w:szCs w:val="20"/>
                <w:lang w:eastAsia="pl-PL"/>
              </w:rPr>
              <w:t xml:space="preserve">– ok. </w:t>
            </w:r>
            <w:r w:rsidR="00DB1423">
              <w:rPr>
                <w:rFonts w:cs="Calibri"/>
                <w:b/>
                <w:bCs/>
                <w:sz w:val="20"/>
                <w:szCs w:val="20"/>
                <w:lang w:eastAsia="pl-PL"/>
              </w:rPr>
              <w:t>15.</w:t>
            </w:r>
            <w:r w:rsidR="00652446">
              <w:rPr>
                <w:rFonts w:cs="Calibri"/>
                <w:b/>
                <w:bCs/>
                <w:sz w:val="20"/>
                <w:szCs w:val="20"/>
                <w:lang w:eastAsia="pl-PL"/>
              </w:rPr>
              <w:t>1</w:t>
            </w:r>
            <w:r w:rsidR="004A3B6A">
              <w:rPr>
                <w:rFonts w:cs="Calibri"/>
                <w:b/>
                <w:bCs/>
                <w:sz w:val="20"/>
                <w:szCs w:val="20"/>
                <w:lang w:eastAsia="pl-PL"/>
              </w:rPr>
              <w:t>1</w:t>
            </w:r>
            <w:r w:rsidR="00DB1423">
              <w:rPr>
                <w:rFonts w:cs="Calibri"/>
                <w:b/>
                <w:bCs/>
                <w:sz w:val="20"/>
                <w:szCs w:val="20"/>
                <w:lang w:eastAsia="pl-PL"/>
              </w:rPr>
              <w:t>.2023</w:t>
            </w:r>
            <w:r w:rsidR="00E20662">
              <w:rPr>
                <w:rFonts w:cs="Calibri"/>
                <w:b/>
                <w:bCs/>
                <w:sz w:val="20"/>
                <w:szCs w:val="20"/>
                <w:lang w:eastAsia="pl-PL"/>
              </w:rPr>
              <w:t xml:space="preserve"> r. – 20</w:t>
            </w:r>
            <w:r w:rsidR="00605466" w:rsidRPr="00E20662">
              <w:rPr>
                <w:rFonts w:cs="Calibri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  <w:p w:rsidR="00E20662" w:rsidRDefault="005A1A6F" w:rsidP="00E20662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E20662">
              <w:rPr>
                <w:rFonts w:cs="Calibri"/>
                <w:b/>
                <w:sz w:val="20"/>
                <w:szCs w:val="20"/>
              </w:rPr>
              <w:t>I</w:t>
            </w:r>
            <w:r w:rsidR="00C21F69" w:rsidRPr="00E20662">
              <w:rPr>
                <w:rFonts w:cs="Calibri"/>
                <w:b/>
                <w:sz w:val="20"/>
                <w:szCs w:val="20"/>
              </w:rPr>
              <w:t>V</w:t>
            </w:r>
            <w:r w:rsidR="00DB66D5" w:rsidRPr="00E20662">
              <w:rPr>
                <w:rFonts w:cs="Calibri"/>
                <w:b/>
                <w:sz w:val="20"/>
                <w:szCs w:val="20"/>
              </w:rPr>
              <w:t xml:space="preserve"> etap </w:t>
            </w:r>
            <w:r w:rsidR="00C21F69" w:rsidRPr="00E20662">
              <w:rPr>
                <w:rFonts w:cs="Calibri"/>
                <w:b/>
                <w:sz w:val="20"/>
                <w:szCs w:val="20"/>
              </w:rPr>
              <w:t>–</w:t>
            </w:r>
            <w:r w:rsidR="00DB66D5" w:rsidRPr="00E20662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E20662" w:rsidRPr="00E20662">
              <w:rPr>
                <w:rFonts w:cs="Calibri"/>
                <w:sz w:val="20"/>
                <w:szCs w:val="20"/>
                <w:lang w:eastAsia="pl-PL"/>
              </w:rPr>
              <w:t>Wykonanie stropu nad I</w:t>
            </w:r>
            <w:r w:rsidR="00E20662">
              <w:rPr>
                <w:rFonts w:cs="Calibri"/>
                <w:sz w:val="20"/>
                <w:szCs w:val="20"/>
                <w:lang w:eastAsia="pl-PL"/>
              </w:rPr>
              <w:t>II</w:t>
            </w:r>
            <w:r w:rsidR="00E20662" w:rsidRPr="00E20662">
              <w:rPr>
                <w:rFonts w:cs="Calibri"/>
                <w:sz w:val="20"/>
                <w:szCs w:val="20"/>
                <w:lang w:eastAsia="pl-PL"/>
              </w:rPr>
              <w:t xml:space="preserve"> piętrem</w:t>
            </w:r>
            <w:r w:rsidR="00E20662">
              <w:rPr>
                <w:rFonts w:cs="Calibri"/>
                <w:sz w:val="20"/>
                <w:szCs w:val="20"/>
                <w:lang w:eastAsia="pl-PL"/>
              </w:rPr>
              <w:t xml:space="preserve"> – ok. </w:t>
            </w:r>
            <w:r w:rsidR="00DB1423">
              <w:rPr>
                <w:rFonts w:cs="Calibri"/>
                <w:b/>
                <w:sz w:val="20"/>
                <w:szCs w:val="20"/>
                <w:lang w:eastAsia="pl-PL"/>
              </w:rPr>
              <w:t>31.1</w:t>
            </w:r>
            <w:r w:rsidR="004A3B6A">
              <w:rPr>
                <w:rFonts w:cs="Calibri"/>
                <w:b/>
                <w:sz w:val="20"/>
                <w:szCs w:val="20"/>
                <w:lang w:eastAsia="pl-PL"/>
              </w:rPr>
              <w:t>2</w:t>
            </w:r>
            <w:r w:rsidR="00DB1423">
              <w:rPr>
                <w:rFonts w:cs="Calibri"/>
                <w:b/>
                <w:sz w:val="20"/>
                <w:szCs w:val="20"/>
                <w:lang w:eastAsia="pl-PL"/>
              </w:rPr>
              <w:t>.2023</w:t>
            </w:r>
            <w:r w:rsidR="00E20662" w:rsidRPr="00E20662">
              <w:rPr>
                <w:rFonts w:cs="Calibri"/>
                <w:b/>
                <w:sz w:val="20"/>
                <w:szCs w:val="20"/>
                <w:lang w:eastAsia="pl-PL"/>
              </w:rPr>
              <w:t xml:space="preserve"> -</w:t>
            </w:r>
            <w:r w:rsidR="00E20662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  <w:r w:rsidR="00E20662" w:rsidRPr="00E20662">
              <w:rPr>
                <w:rFonts w:cs="Calibri"/>
                <w:b/>
                <w:sz w:val="20"/>
                <w:szCs w:val="20"/>
                <w:lang w:eastAsia="pl-PL"/>
              </w:rPr>
              <w:t>2</w:t>
            </w:r>
            <w:r w:rsidR="00652446">
              <w:rPr>
                <w:rFonts w:cs="Calibri"/>
                <w:b/>
                <w:sz w:val="20"/>
                <w:szCs w:val="20"/>
                <w:lang w:eastAsia="pl-PL"/>
              </w:rPr>
              <w:t>0</w:t>
            </w:r>
            <w:r w:rsidR="00E20662" w:rsidRPr="00E20662">
              <w:rPr>
                <w:rFonts w:cs="Calibri"/>
                <w:b/>
                <w:sz w:val="20"/>
                <w:szCs w:val="20"/>
                <w:lang w:eastAsia="pl-PL"/>
              </w:rPr>
              <w:t xml:space="preserve"> %</w:t>
            </w:r>
          </w:p>
          <w:p w:rsidR="005A1A6F" w:rsidRPr="00E20662" w:rsidRDefault="005A1A6F" w:rsidP="00E20662">
            <w:pPr>
              <w:rPr>
                <w:rFonts w:cs="Calibri"/>
                <w:bCs/>
                <w:sz w:val="20"/>
                <w:szCs w:val="20"/>
              </w:rPr>
            </w:pPr>
            <w:r w:rsidRPr="00E20662">
              <w:rPr>
                <w:rFonts w:cs="Calibri"/>
                <w:b/>
                <w:bCs/>
                <w:sz w:val="20"/>
                <w:szCs w:val="20"/>
              </w:rPr>
              <w:t>V etap –</w:t>
            </w:r>
            <w:r w:rsidR="00E20662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  <w:r w:rsidR="00E20662" w:rsidRPr="00E20662">
              <w:rPr>
                <w:rFonts w:cs="Calibri"/>
                <w:sz w:val="20"/>
                <w:szCs w:val="20"/>
                <w:lang w:eastAsia="pl-PL"/>
              </w:rPr>
              <w:t xml:space="preserve">Wykonanie stanu surowego otwartego; </w:t>
            </w:r>
            <w:r w:rsidR="00E20662">
              <w:rPr>
                <w:rFonts w:cs="Calibri"/>
                <w:sz w:val="20"/>
                <w:szCs w:val="20"/>
                <w:lang w:eastAsia="pl-PL"/>
              </w:rPr>
              <w:t>montaż stolarki okiennej</w:t>
            </w:r>
            <w:r w:rsidR="00E20662" w:rsidRPr="00E20662">
              <w:rPr>
                <w:rFonts w:cs="Calibri"/>
                <w:sz w:val="20"/>
                <w:szCs w:val="20"/>
                <w:lang w:eastAsia="pl-PL"/>
              </w:rPr>
              <w:t xml:space="preserve"> -</w:t>
            </w:r>
            <w:r w:rsidRPr="00E20662">
              <w:rPr>
                <w:rFonts w:cs="Calibri"/>
                <w:bCs/>
                <w:sz w:val="20"/>
                <w:szCs w:val="20"/>
              </w:rPr>
              <w:t xml:space="preserve"> ok. </w:t>
            </w:r>
            <w:r w:rsidR="004A3B6A">
              <w:rPr>
                <w:rFonts w:cs="Calibri"/>
                <w:b/>
                <w:bCs/>
                <w:sz w:val="20"/>
                <w:szCs w:val="20"/>
              </w:rPr>
              <w:t>29.02</w:t>
            </w:r>
            <w:r w:rsidR="00652446">
              <w:rPr>
                <w:rFonts w:cs="Calibri"/>
                <w:b/>
                <w:bCs/>
                <w:sz w:val="20"/>
                <w:szCs w:val="20"/>
              </w:rPr>
              <w:t>.2024</w:t>
            </w:r>
            <w:r w:rsidR="00E20662">
              <w:rPr>
                <w:rFonts w:cs="Calibri"/>
                <w:b/>
                <w:bCs/>
                <w:sz w:val="20"/>
                <w:szCs w:val="20"/>
              </w:rPr>
              <w:t xml:space="preserve"> - 15</w:t>
            </w:r>
            <w:r w:rsidRPr="00E20662">
              <w:rPr>
                <w:rFonts w:cs="Calibri"/>
                <w:b/>
                <w:bCs/>
                <w:sz w:val="20"/>
                <w:szCs w:val="20"/>
              </w:rPr>
              <w:t xml:space="preserve"> %</w:t>
            </w:r>
          </w:p>
          <w:p w:rsidR="00DB66D5" w:rsidRPr="00E20662" w:rsidRDefault="00C21F69" w:rsidP="00E20662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cs="Calibri"/>
                <w:b/>
                <w:sz w:val="20"/>
                <w:szCs w:val="20"/>
              </w:rPr>
              <w:t>VI</w:t>
            </w:r>
            <w:r w:rsidR="00DB66D5" w:rsidRPr="00E20662">
              <w:rPr>
                <w:rFonts w:cs="Calibri"/>
                <w:b/>
                <w:sz w:val="20"/>
                <w:szCs w:val="20"/>
              </w:rPr>
              <w:t xml:space="preserve"> etap </w:t>
            </w:r>
            <w:r w:rsidR="00E04B12" w:rsidRPr="00E20662">
              <w:rPr>
                <w:rFonts w:cs="Calibri"/>
                <w:b/>
                <w:sz w:val="20"/>
                <w:szCs w:val="20"/>
              </w:rPr>
              <w:t>–</w:t>
            </w:r>
            <w:r w:rsidR="00605466" w:rsidRPr="00E20662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  <w:r w:rsidR="00492B98" w:rsidRPr="00E20662">
              <w:rPr>
                <w:rFonts w:cs="Calibri"/>
                <w:sz w:val="20"/>
                <w:szCs w:val="20"/>
                <w:lang w:eastAsia="pl-PL"/>
              </w:rPr>
              <w:t>Zakończenie instalacji elektrycznej; sanitarnej, z</w:t>
            </w:r>
            <w:r w:rsidR="00605466" w:rsidRPr="00E20662">
              <w:rPr>
                <w:rFonts w:cs="Calibri"/>
                <w:sz w:val="20"/>
                <w:szCs w:val="20"/>
                <w:lang w:eastAsia="pl-PL"/>
              </w:rPr>
              <w:t>akończenie robót wykończeniowych; zagospodarowanie terenu</w:t>
            </w:r>
            <w:r w:rsidR="00605466" w:rsidRPr="00E20662">
              <w:rPr>
                <w:rFonts w:cs="Calibri"/>
                <w:sz w:val="20"/>
                <w:szCs w:val="20"/>
              </w:rPr>
              <w:t xml:space="preserve"> </w:t>
            </w:r>
            <w:r w:rsidR="004F6454" w:rsidRPr="00E20662">
              <w:rPr>
                <w:rFonts w:cs="Calibri"/>
                <w:sz w:val="20"/>
                <w:szCs w:val="20"/>
              </w:rPr>
              <w:t xml:space="preserve">– </w:t>
            </w:r>
            <w:r w:rsidR="004A3B6A">
              <w:rPr>
                <w:rFonts w:cs="Calibri"/>
                <w:b/>
                <w:bCs/>
                <w:sz w:val="20"/>
                <w:szCs w:val="20"/>
              </w:rPr>
              <w:t>31.07</w:t>
            </w:r>
            <w:r w:rsidR="00DB1423">
              <w:rPr>
                <w:rFonts w:cs="Calibri"/>
                <w:b/>
                <w:bCs/>
                <w:sz w:val="20"/>
                <w:szCs w:val="20"/>
              </w:rPr>
              <w:t>.2024</w:t>
            </w:r>
            <w:r w:rsidR="00967919" w:rsidRPr="00E20662">
              <w:rPr>
                <w:rFonts w:cs="Calibri"/>
                <w:b/>
                <w:bCs/>
                <w:sz w:val="20"/>
                <w:szCs w:val="20"/>
              </w:rPr>
              <w:t xml:space="preserve"> r.</w:t>
            </w:r>
            <w:r w:rsidR="00902FF5" w:rsidRPr="00E20662">
              <w:rPr>
                <w:rFonts w:cs="Calibri"/>
                <w:b/>
                <w:bCs/>
                <w:sz w:val="20"/>
                <w:szCs w:val="20"/>
              </w:rPr>
              <w:t xml:space="preserve"> – 10 %</w:t>
            </w:r>
          </w:p>
        </w:tc>
      </w:tr>
      <w:tr w:rsidR="00E20662" w:rsidRPr="00E20662" w:rsidTr="00D902CA">
        <w:trPr>
          <w:trHeight w:val="567"/>
        </w:trPr>
        <w:tc>
          <w:tcPr>
            <w:tcW w:w="3020" w:type="dxa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Dopuszczenie waloryzacji ceny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oraz określenie zasad waloryzacji</w:t>
            </w:r>
          </w:p>
        </w:tc>
        <w:tc>
          <w:tcPr>
            <w:tcW w:w="6756" w:type="dxa"/>
            <w:gridSpan w:val="7"/>
            <w:vAlign w:val="center"/>
          </w:tcPr>
          <w:p w:rsidR="00DB66D5" w:rsidRPr="00E20662" w:rsidRDefault="007A46D9" w:rsidP="007A46D9">
            <w:pPr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-------------------</w:t>
            </w:r>
          </w:p>
        </w:tc>
      </w:tr>
      <w:tr w:rsidR="00E20662" w:rsidRPr="00E20662" w:rsidTr="00D902CA">
        <w:trPr>
          <w:trHeight w:val="607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WARUNKI ODSTĄPIENIA OD UMOWY DEWELOPERSKIEJ (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Należy opisać na jakich warunkach można odstąpić od umowy deweloperskiej)</w:t>
            </w:r>
          </w:p>
        </w:tc>
      </w:tr>
      <w:tr w:rsidR="00E20662" w:rsidRPr="00E20662" w:rsidTr="00D902CA">
        <w:trPr>
          <w:trHeight w:val="607"/>
        </w:trPr>
        <w:tc>
          <w:tcPr>
            <w:tcW w:w="9776" w:type="dxa"/>
            <w:gridSpan w:val="8"/>
            <w:vAlign w:val="center"/>
          </w:tcPr>
          <w:p w:rsidR="00FF7827" w:rsidRPr="00E20662" w:rsidRDefault="00FF7827" w:rsidP="00D902CA">
            <w:pPr>
              <w:shd w:val="clear" w:color="auto" w:fill="FFFFFF"/>
              <w:rPr>
                <w:rFonts w:ascii="Calibri" w:hAnsi="Calibri" w:cs="Calibri"/>
                <w:noProof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noProof/>
                <w:sz w:val="19"/>
                <w:szCs w:val="19"/>
              </w:rPr>
              <w:t>Nabywcy</w:t>
            </w:r>
            <w:r w:rsidRPr="00E20662">
              <w:rPr>
                <w:rFonts w:ascii="Calibri" w:hAnsi="Calibri" w:cs="Calibri"/>
                <w:noProof/>
                <w:sz w:val="19"/>
                <w:szCs w:val="19"/>
              </w:rPr>
              <w:t xml:space="preserve"> mają prawo odstąpić od umowy w następujących przypadkach: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jeżeli umowa deweloperska nie zawiera elementów, o których mowa w art. 22 ustawy z dnia 16 września</w:t>
            </w:r>
            <w:r w:rsidR="0007072D"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2011 r. o ochronie praw nabywcy lokalu mieszkalnego lub domu jednorodzinnego (Dz. U. z 2017 r., poz. 1468 ze zm.), zwanej dalej ustawą deweloperską;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jeżeli informacje zawarte w umowie deweloperskiej nie są zgodne z informacjami zawartymi w prospekcie informacyjnym lub w załącznikach – za wyjątkiem zmian, o których mowa w art. 22 ust. 2 ustawy deweloperskiej;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jeżeli 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Deweloper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nie doręczył zgodnie z art. 18 i 19 ustawy deweloperskiej prospektu informacyjnego wraz z załącznikami;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jeżeli informacje zawarte w prospekcie informacyjnym lub w załącznikach, na podstawie których zawarto umowę deweloperską, są niezgodne ze stanem faktycznym i prawnym w dniu podpisania umowy deweloperskiej;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jeżeli prospekt informacyjny, na podstawie którego zawarto umowę deweloperską, nie zawiera informacji określonych we wzorze prospektu informacyjnego stanowiącego załącznik do ustawy deweloperskiej;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w przypadku nie</w:t>
            </w:r>
            <w:r w:rsidR="006B6E8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przeniesienia na 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Nabywcę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noProof/>
                <w:sz w:val="19"/>
                <w:szCs w:val="19"/>
              </w:rPr>
              <w:t>prawa własności przedmiotowego lokalu mieszkalnego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, w terminie określonym w umowie deweloperskiej;</w:t>
            </w:r>
          </w:p>
          <w:p w:rsidR="00FF7827" w:rsidRPr="00E20662" w:rsidRDefault="00FF7827" w:rsidP="00D902CA">
            <w:pPr>
              <w:numPr>
                <w:ilvl w:val="0"/>
                <w:numId w:val="2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napToGrid w:val="0"/>
                <w:sz w:val="19"/>
                <w:szCs w:val="19"/>
              </w:rPr>
              <w:t xml:space="preserve">w przypadku stwierdzenia zmiany powierzchni po obmiarze powykonawczym o więcej niż 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1,50 %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(jeden i pięć dziesiątych procenta).</w:t>
            </w:r>
          </w:p>
        </w:tc>
      </w:tr>
      <w:tr w:rsidR="00E20662" w:rsidRPr="00E20662" w:rsidTr="00D902CA">
        <w:trPr>
          <w:trHeight w:val="2586"/>
        </w:trPr>
        <w:tc>
          <w:tcPr>
            <w:tcW w:w="9776" w:type="dxa"/>
            <w:gridSpan w:val="8"/>
          </w:tcPr>
          <w:p w:rsidR="00DB66D5" w:rsidRPr="00E20662" w:rsidRDefault="00DB66D5" w:rsidP="00D902CA">
            <w:pPr>
              <w:tabs>
                <w:tab w:val="right" w:pos="426"/>
                <w:tab w:val="right" w:leader="hyphen" w:pos="9080"/>
              </w:tabs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Deweloper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ma prawo odstąpić od umowy deweloperskiej w następujących przypadkach:</w:t>
            </w:r>
          </w:p>
          <w:p w:rsidR="00DB66D5" w:rsidRPr="00E20662" w:rsidRDefault="00DB66D5" w:rsidP="00D902CA">
            <w:pPr>
              <w:numPr>
                <w:ilvl w:val="0"/>
                <w:numId w:val="3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niespełnienia przez Nabywcę świadczenia pieniężnego w terminie lub wysokości określonej w umowie deweloperskiej – pod warunkiem uprzedniego jednokrotnego wezwania Nabywcy w formie pisemnej do uiszczenia zaległych kwot w terminie 30 (trzydziestu) dni od dnia doręczenia wezwania, chyba że niespełnienie przez Nabywcę świadczenia pieniężnego jest spowodowane działaniem siły wyższej;</w:t>
            </w:r>
          </w:p>
          <w:p w:rsidR="00DB66D5" w:rsidRPr="00E20662" w:rsidRDefault="00DB66D5" w:rsidP="00D902CA">
            <w:pPr>
              <w:numPr>
                <w:ilvl w:val="0"/>
                <w:numId w:val="3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niestawienia się Nabywcy do odbioru Lokalu mieszkalnego – pod warunkiem dwukrotnego doręczenia wezwania Nabywcy w formie pisemnej w odstępie co najmniej 60 (sześćdziesięciu) dni, chyba że niestawienie się Nabywcy jest spowodowane działaniem siły wyższej;</w:t>
            </w:r>
          </w:p>
          <w:p w:rsidR="00DB66D5" w:rsidRPr="00E20662" w:rsidRDefault="00DB66D5" w:rsidP="00D902CA">
            <w:pPr>
              <w:numPr>
                <w:ilvl w:val="0"/>
                <w:numId w:val="3"/>
              </w:numPr>
              <w:tabs>
                <w:tab w:val="right" w:pos="404"/>
                <w:tab w:val="right" w:leader="hyphen" w:pos="9080"/>
              </w:tabs>
              <w:ind w:left="404" w:hanging="283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niestawienia się Nabywcy do podpisania aktu notarialnego przenoszącego na niego prawo, o którym mowa w art. 1 ustawy deweloperskiej - pod warunkiem dwukrotnego doręczenia wezwania Nabywcy w formie pisemnej w odstępie co najmniej 60 (sześćdziesięciu) dni, chyba że niestawienie się Nabywcy jest spowodowane działaniem siły wyższej.</w:t>
            </w:r>
          </w:p>
          <w:p w:rsidR="00D44C13" w:rsidRPr="00E20662" w:rsidRDefault="00D44C13" w:rsidP="00D44C13">
            <w:pPr>
              <w:tabs>
                <w:tab w:val="right" w:pos="404"/>
                <w:tab w:val="right" w:leader="hyphen" w:pos="908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D44C13">
        <w:trPr>
          <w:trHeight w:val="460"/>
        </w:trPr>
        <w:tc>
          <w:tcPr>
            <w:tcW w:w="9776" w:type="dxa"/>
            <w:gridSpan w:val="8"/>
            <w:vAlign w:val="center"/>
          </w:tcPr>
          <w:p w:rsidR="00DB66D5" w:rsidRPr="00E20662" w:rsidRDefault="00DB66D5" w:rsidP="00D902CA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INNE INFORMACJE</w:t>
            </w:r>
          </w:p>
        </w:tc>
      </w:tr>
      <w:tr w:rsidR="00E20662" w:rsidRPr="00E20662" w:rsidTr="00D902CA">
        <w:tc>
          <w:tcPr>
            <w:tcW w:w="9776" w:type="dxa"/>
            <w:gridSpan w:val="8"/>
          </w:tcPr>
          <w:p w:rsidR="00DB66D5" w:rsidRPr="00E20662" w:rsidRDefault="00DB66D5" w:rsidP="00D902CA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Informacja o zgodzie banku finansującego przedsięwzięcie deweloperskie lub jego część, bądź finansującego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działalność dewelopera w przypadku zabezpieczenia kredytu na hipotece nieruchomości, na której jest realizowane przedsięwzięcie deweloperskie lub jego część, bądź też finansującego zakup tej nieruchomości lub jej części w przypadku równoczesnego ustanowienia zabezpieczenia hipotecznego — na bezobciążeniowe wyodrębnienie lokalu mieszkalnego i przeniesienie jego własności albo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</w:t>
            </w:r>
            <w:r w:rsidR="00027099" w:rsidRPr="00E20662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E20662" w:rsidRPr="00E20662" w:rsidTr="00D902CA">
        <w:tc>
          <w:tcPr>
            <w:tcW w:w="9776" w:type="dxa"/>
            <w:gridSpan w:val="8"/>
          </w:tcPr>
          <w:p w:rsidR="00DB66D5" w:rsidRPr="00E20662" w:rsidRDefault="00DB66D5" w:rsidP="00D902CA">
            <w:pPr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Informacja o możliwości zapoznania się w lokalu przedsiębiorstwa przez osobę zainteresowaną zawarciem umowy deweloperskiej z:</w:t>
            </w:r>
          </w:p>
          <w:p w:rsidR="00DB66D5" w:rsidRPr="00E20662" w:rsidRDefault="00DB66D5" w:rsidP="00D902CA">
            <w:pPr>
              <w:ind w:left="270" w:right="57" w:hanging="242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1)</w:t>
            </w:r>
            <w:r w:rsidRPr="00E20662">
              <w:rPr>
                <w:rFonts w:ascii="Calibri" w:hAnsi="Calibri" w:cs="Calibri"/>
                <w:sz w:val="19"/>
                <w:szCs w:val="19"/>
              </w:rPr>
              <w:tab/>
              <w:t>aktualnym stanem księgi wieczystej prowadzonej dla nieruchomości;</w:t>
            </w:r>
          </w:p>
          <w:p w:rsidR="00DB66D5" w:rsidRPr="00E20662" w:rsidRDefault="00DB66D5" w:rsidP="00D902CA">
            <w:pPr>
              <w:ind w:left="270" w:right="57" w:hanging="242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2)</w:t>
            </w:r>
            <w:r w:rsidRPr="00E20662">
              <w:rPr>
                <w:rFonts w:ascii="Calibri" w:hAnsi="Calibri" w:cs="Calibri"/>
                <w:sz w:val="19"/>
                <w:szCs w:val="19"/>
              </w:rPr>
              <w:tab/>
              <w:t>kopią aktualnego odpisu z Krajowego Rejestru Sądowego, jeśli podmiot podlega wpisowi do Krajowego Rejestru Sądowego lub aktualnym zaświadczeniem o wpisie do Centralnej Ewidencji i Informacji o Działalności Gospodarczej;</w:t>
            </w:r>
          </w:p>
          <w:p w:rsidR="00DB66D5" w:rsidRPr="00E20662" w:rsidRDefault="00DB66D5" w:rsidP="00D902CA">
            <w:pPr>
              <w:ind w:left="270" w:right="57" w:hanging="242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3)</w:t>
            </w:r>
            <w:r w:rsidRPr="00E20662">
              <w:rPr>
                <w:rFonts w:ascii="Calibri" w:hAnsi="Calibri" w:cs="Calibri"/>
                <w:sz w:val="19"/>
                <w:szCs w:val="19"/>
              </w:rPr>
              <w:tab/>
              <w:t>kopią pozwolenia na budowę;</w:t>
            </w:r>
          </w:p>
          <w:p w:rsidR="00DB66D5" w:rsidRPr="00E20662" w:rsidRDefault="00DB66D5" w:rsidP="00D902CA">
            <w:pPr>
              <w:ind w:left="270" w:right="57" w:hanging="242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4)</w:t>
            </w:r>
            <w:r w:rsidRPr="00E20662">
              <w:rPr>
                <w:rFonts w:ascii="Calibri" w:hAnsi="Calibri" w:cs="Calibri"/>
                <w:sz w:val="19"/>
                <w:szCs w:val="19"/>
              </w:rPr>
              <w:tab/>
              <w:t>sprawozdaniem finansowym dewelopera za ostatnie dwa lata, a w przypadku realizacji inwestycji przez spółkę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celową — sprawozdaniem spółki dominującej;</w:t>
            </w:r>
          </w:p>
          <w:p w:rsidR="00DB66D5" w:rsidRPr="00E20662" w:rsidRDefault="003B1070" w:rsidP="00D902CA">
            <w:pPr>
              <w:rPr>
                <w:rFonts w:cs="Calibri"/>
                <w:sz w:val="19"/>
                <w:szCs w:val="19"/>
              </w:rPr>
            </w:pPr>
            <w:r w:rsidRPr="00E20662">
              <w:rPr>
                <w:rFonts w:cs="Calibri"/>
                <w:sz w:val="19"/>
                <w:szCs w:val="19"/>
              </w:rPr>
              <w:t xml:space="preserve">5) </w:t>
            </w:r>
            <w:r w:rsidR="00DB66D5" w:rsidRPr="00E20662">
              <w:rPr>
                <w:rFonts w:cs="Calibri"/>
                <w:sz w:val="19"/>
                <w:szCs w:val="19"/>
              </w:rPr>
              <w:t>projektem architektoniczno-budowlanym:</w:t>
            </w:r>
          </w:p>
          <w:p w:rsidR="00027099" w:rsidRPr="00E20662" w:rsidRDefault="00027099" w:rsidP="00D902CA">
            <w:pPr>
              <w:autoSpaceDE w:val="0"/>
              <w:autoSpaceDN w:val="0"/>
              <w:adjustRightInd w:val="0"/>
              <w:jc w:val="both"/>
              <w:rPr>
                <w:rFonts w:eastAsia="MS Mincho" w:cs="Calibri"/>
                <w:b/>
                <w:bCs/>
                <w:sz w:val="19"/>
                <w:szCs w:val="19"/>
                <w:u w:val="single"/>
                <w:lang w:eastAsia="ja-JP"/>
              </w:rPr>
            </w:pPr>
            <w:r w:rsidRPr="00E20662">
              <w:rPr>
                <w:rFonts w:eastAsia="MS Mincho" w:cs="Calibri"/>
                <w:b/>
                <w:bCs/>
                <w:sz w:val="19"/>
                <w:szCs w:val="19"/>
                <w:u w:val="single"/>
                <w:lang w:eastAsia="ja-JP"/>
              </w:rPr>
              <w:t xml:space="preserve">Osoba zainteresowana </w:t>
            </w:r>
            <w:r w:rsidR="003B1070" w:rsidRPr="00E20662">
              <w:rPr>
                <w:rFonts w:eastAsia="MS Mincho" w:cs="Calibri"/>
                <w:b/>
                <w:bCs/>
                <w:sz w:val="19"/>
                <w:szCs w:val="19"/>
                <w:u w:val="single"/>
                <w:lang w:eastAsia="ja-JP"/>
              </w:rPr>
              <w:t>zawarciem</w:t>
            </w:r>
            <w:r w:rsidRPr="00E20662">
              <w:rPr>
                <w:rFonts w:eastAsia="MS Mincho" w:cs="Calibri"/>
                <w:b/>
                <w:bCs/>
                <w:sz w:val="19"/>
                <w:szCs w:val="19"/>
                <w:u w:val="single"/>
                <w:lang w:eastAsia="ja-JP"/>
              </w:rPr>
              <w:t xml:space="preserve"> umowy deweloperskiej ma możliwość za</w:t>
            </w:r>
            <w:r w:rsidR="003B1070" w:rsidRPr="00E20662">
              <w:rPr>
                <w:rFonts w:eastAsia="MS Mincho" w:cs="Calibri"/>
                <w:b/>
                <w:bCs/>
                <w:sz w:val="19"/>
                <w:szCs w:val="19"/>
                <w:u w:val="single"/>
                <w:lang w:eastAsia="ja-JP"/>
              </w:rPr>
              <w:t>poznania się w Biurze sprzedaży</w:t>
            </w:r>
            <w:r w:rsidRPr="00E20662">
              <w:rPr>
                <w:rFonts w:eastAsia="MS Mincho" w:cs="Calibri"/>
                <w:b/>
                <w:bCs/>
                <w:sz w:val="19"/>
                <w:szCs w:val="19"/>
                <w:u w:val="single"/>
                <w:lang w:eastAsia="ja-JP"/>
              </w:rPr>
              <w:t xml:space="preserve"> Dewelopera z: </w:t>
            </w:r>
          </w:p>
          <w:p w:rsidR="00027099" w:rsidRPr="00E20662" w:rsidRDefault="00027099" w:rsidP="00D902CA">
            <w:pPr>
              <w:ind w:left="270" w:right="57" w:hanging="242"/>
              <w:jc w:val="both"/>
              <w:rPr>
                <w:rFonts w:cs="Calibri"/>
                <w:sz w:val="19"/>
                <w:szCs w:val="19"/>
              </w:rPr>
            </w:pPr>
            <w:r w:rsidRPr="00E20662">
              <w:rPr>
                <w:rFonts w:cs="Calibri"/>
                <w:sz w:val="19"/>
                <w:szCs w:val="19"/>
              </w:rPr>
              <w:t>1)</w:t>
            </w:r>
            <w:r w:rsidRPr="00E20662">
              <w:rPr>
                <w:rFonts w:cs="Calibri"/>
                <w:sz w:val="19"/>
                <w:szCs w:val="19"/>
              </w:rPr>
              <w:tab/>
              <w:t>aktualnym stanem księgi wieczystej prowadzonej dla nieruchomości;</w:t>
            </w:r>
          </w:p>
          <w:p w:rsidR="00027099" w:rsidRPr="00E20662" w:rsidRDefault="00027099" w:rsidP="00D902CA">
            <w:pPr>
              <w:ind w:left="270" w:right="57" w:hanging="242"/>
              <w:jc w:val="both"/>
              <w:rPr>
                <w:rFonts w:cs="Calibri"/>
                <w:sz w:val="19"/>
                <w:szCs w:val="19"/>
              </w:rPr>
            </w:pPr>
            <w:r w:rsidRPr="00E20662">
              <w:rPr>
                <w:rFonts w:cs="Calibri"/>
                <w:sz w:val="19"/>
                <w:szCs w:val="19"/>
              </w:rPr>
              <w:t>2)</w:t>
            </w:r>
            <w:r w:rsidRPr="00E20662">
              <w:rPr>
                <w:rFonts w:cs="Calibri"/>
                <w:sz w:val="19"/>
                <w:szCs w:val="19"/>
              </w:rPr>
              <w:tab/>
              <w:t xml:space="preserve">kopią aktualnego odpisu z Krajowego Rejestru </w:t>
            </w:r>
          </w:p>
          <w:p w:rsidR="00027099" w:rsidRPr="00E20662" w:rsidRDefault="00027099" w:rsidP="00D902CA">
            <w:pPr>
              <w:ind w:left="270" w:right="57" w:hanging="242"/>
              <w:jc w:val="both"/>
              <w:rPr>
                <w:rFonts w:cs="Calibri"/>
                <w:sz w:val="19"/>
                <w:szCs w:val="19"/>
              </w:rPr>
            </w:pPr>
            <w:r w:rsidRPr="00E20662">
              <w:rPr>
                <w:rFonts w:cs="Calibri"/>
                <w:sz w:val="19"/>
                <w:szCs w:val="19"/>
              </w:rPr>
              <w:t>3)</w:t>
            </w:r>
            <w:r w:rsidRPr="00E20662">
              <w:rPr>
                <w:rFonts w:cs="Calibri"/>
                <w:sz w:val="19"/>
                <w:szCs w:val="19"/>
              </w:rPr>
              <w:tab/>
              <w:t>kopią pozwolenia na budowę;</w:t>
            </w:r>
          </w:p>
          <w:p w:rsidR="00027099" w:rsidRPr="00E20662" w:rsidRDefault="003B1070" w:rsidP="00D902CA">
            <w:pPr>
              <w:ind w:left="270" w:right="57" w:hanging="242"/>
              <w:jc w:val="both"/>
              <w:rPr>
                <w:rFonts w:cs="Calibri"/>
                <w:sz w:val="19"/>
                <w:szCs w:val="19"/>
              </w:rPr>
            </w:pPr>
            <w:r w:rsidRPr="00E20662">
              <w:rPr>
                <w:rFonts w:cs="Calibri"/>
                <w:sz w:val="19"/>
                <w:szCs w:val="19"/>
              </w:rPr>
              <w:t xml:space="preserve">4) </w:t>
            </w:r>
            <w:r w:rsidR="00027099" w:rsidRPr="00E20662">
              <w:rPr>
                <w:rFonts w:cs="Calibri"/>
                <w:sz w:val="19"/>
                <w:szCs w:val="19"/>
              </w:rPr>
              <w:t>sprawozdaniem finansowym dewelopera za ostatnie dwa lata, a w przypadku realizacji inwestycji przez spółkę</w:t>
            </w:r>
            <w:r w:rsidR="00027099" w:rsidRPr="00E20662">
              <w:rPr>
                <w:rFonts w:cs="Calibri"/>
                <w:sz w:val="19"/>
                <w:szCs w:val="19"/>
              </w:rPr>
              <w:br/>
              <w:t>celową — sprawozdaniem spółki dominującej;</w:t>
            </w:r>
          </w:p>
          <w:p w:rsidR="00BF0E4B" w:rsidRPr="00E20662" w:rsidRDefault="003B1070" w:rsidP="00D902CA">
            <w:pPr>
              <w:rPr>
                <w:rFonts w:cs="Calibri"/>
                <w:sz w:val="19"/>
                <w:szCs w:val="19"/>
              </w:rPr>
            </w:pPr>
            <w:r w:rsidRPr="00E20662">
              <w:rPr>
                <w:rFonts w:cs="Calibri"/>
                <w:sz w:val="19"/>
                <w:szCs w:val="19"/>
              </w:rPr>
              <w:t xml:space="preserve"> 5</w:t>
            </w:r>
            <w:r w:rsidR="00027099" w:rsidRPr="00E20662">
              <w:rPr>
                <w:rFonts w:cs="Calibri"/>
                <w:sz w:val="19"/>
                <w:szCs w:val="19"/>
              </w:rPr>
              <w:t>) projektem architektoniczno-budowlanym</w:t>
            </w:r>
          </w:p>
          <w:p w:rsidR="00D44C13" w:rsidRPr="00E20662" w:rsidRDefault="00D44C13" w:rsidP="00D902CA">
            <w:pPr>
              <w:rPr>
                <w:rFonts w:cs="Calibri"/>
                <w:sz w:val="19"/>
                <w:szCs w:val="19"/>
              </w:rPr>
            </w:pPr>
          </w:p>
        </w:tc>
      </w:tr>
    </w:tbl>
    <w:tbl>
      <w:tblPr>
        <w:tblW w:w="10148" w:type="dxa"/>
        <w:tblInd w:w="-112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7"/>
        <w:gridCol w:w="12"/>
        <w:gridCol w:w="3219"/>
        <w:gridCol w:w="2076"/>
        <w:gridCol w:w="334"/>
        <w:gridCol w:w="66"/>
        <w:gridCol w:w="3700"/>
        <w:gridCol w:w="379"/>
        <w:gridCol w:w="21"/>
        <w:gridCol w:w="86"/>
        <w:gridCol w:w="148"/>
      </w:tblGrid>
      <w:tr w:rsidR="00E20662" w:rsidRPr="00E20662" w:rsidTr="002E7B01">
        <w:trPr>
          <w:gridAfter w:val="3"/>
          <w:wAfter w:w="255" w:type="dxa"/>
          <w:trHeight w:hRule="exact" w:val="610"/>
        </w:trPr>
        <w:tc>
          <w:tcPr>
            <w:tcW w:w="9893" w:type="dxa"/>
            <w:gridSpan w:val="8"/>
            <w:vAlign w:val="bottom"/>
          </w:tcPr>
          <w:p w:rsidR="007674AE" w:rsidRPr="00E20662" w:rsidRDefault="007674AE" w:rsidP="00D902CA">
            <w:pPr>
              <w:spacing w:after="0" w:line="240" w:lineRule="auto"/>
              <w:ind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bookmarkStart w:id="3" w:name="_Hlk53389256"/>
          </w:p>
        </w:tc>
      </w:tr>
      <w:tr w:rsidR="00E20662" w:rsidRPr="00E20662" w:rsidTr="002E7B01">
        <w:trPr>
          <w:gridAfter w:val="3"/>
          <w:wAfter w:w="255" w:type="dxa"/>
          <w:trHeight w:hRule="exact" w:val="80"/>
        </w:trPr>
        <w:tc>
          <w:tcPr>
            <w:tcW w:w="9893" w:type="dxa"/>
            <w:gridSpan w:val="8"/>
            <w:vAlign w:val="bottom"/>
          </w:tcPr>
          <w:p w:rsidR="007674AE" w:rsidRPr="00E20662" w:rsidRDefault="007674AE" w:rsidP="00D902CA">
            <w:pPr>
              <w:spacing w:after="0" w:line="240" w:lineRule="auto"/>
              <w:ind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bookmarkEnd w:id="3"/>
      <w:tr w:rsidR="00E20662" w:rsidRPr="00E20662" w:rsidTr="002E7B01">
        <w:trPr>
          <w:gridBefore w:val="1"/>
          <w:gridAfter w:val="1"/>
          <w:wBefore w:w="107" w:type="dxa"/>
          <w:wAfter w:w="148" w:type="dxa"/>
          <w:trHeight w:hRule="exact" w:val="610"/>
        </w:trPr>
        <w:tc>
          <w:tcPr>
            <w:tcW w:w="9893" w:type="dxa"/>
            <w:gridSpan w:val="9"/>
            <w:vAlign w:val="bottom"/>
          </w:tcPr>
          <w:p w:rsidR="002E7B01" w:rsidRPr="00E20662" w:rsidRDefault="002E7B01" w:rsidP="002E7B01">
            <w:pPr>
              <w:spacing w:after="0" w:line="240" w:lineRule="auto"/>
              <w:ind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CZĘŚĆ INDYWIDUALNA</w:t>
            </w:r>
          </w:p>
        </w:tc>
      </w:tr>
      <w:tr w:rsidR="00E20662" w:rsidRPr="00E20662" w:rsidTr="002E7B01">
        <w:trPr>
          <w:gridBefore w:val="1"/>
          <w:gridAfter w:val="1"/>
          <w:wBefore w:w="107" w:type="dxa"/>
          <w:wAfter w:w="148" w:type="dxa"/>
          <w:trHeight w:hRule="exact" w:val="80"/>
        </w:trPr>
        <w:tc>
          <w:tcPr>
            <w:tcW w:w="9893" w:type="dxa"/>
            <w:gridSpan w:val="9"/>
            <w:vAlign w:val="bottom"/>
          </w:tcPr>
          <w:p w:rsidR="002E7B01" w:rsidRPr="00E20662" w:rsidRDefault="002E7B01" w:rsidP="002E7B01">
            <w:pPr>
              <w:spacing w:after="0" w:line="240" w:lineRule="auto"/>
              <w:ind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504"/>
        </w:trPr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Cena m</w:t>
            </w:r>
            <w:r w:rsidRPr="00E20662">
              <w:rPr>
                <w:rFonts w:ascii="Calibri" w:hAnsi="Calibri" w:cs="Calibri"/>
                <w:sz w:val="19"/>
                <w:szCs w:val="19"/>
                <w:vertAlign w:val="superscript"/>
              </w:rPr>
              <w:t>2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powierzchni lokalu mieszkalnego 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01" w:rsidRPr="00E20662" w:rsidRDefault="002E7B01" w:rsidP="00A30A76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652446">
              <w:rPr>
                <w:rFonts w:ascii="Calibri" w:hAnsi="Calibri" w:cs="Calibri"/>
                <w:b/>
                <w:sz w:val="19"/>
                <w:szCs w:val="19"/>
              </w:rPr>
              <w:t>……………………….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PLN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brutto</w:t>
            </w: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490"/>
        </w:trPr>
        <w:tc>
          <w:tcPr>
            <w:tcW w:w="3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Określenie położenia oraz istotnych cech domu jednorodzinnego będącego przedmiotem umowy deweloperskiej lub budynku w którym ma znajdować się lokal mieszkalny będący przedmiotem umowy deweloperskiej</w:t>
            </w:r>
          </w:p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liczba kondygnacji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492B98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5</w:t>
            </w:r>
            <w:r w:rsidR="002E7B01" w:rsidRPr="00E20662">
              <w:rPr>
                <w:rFonts w:ascii="Calibri" w:hAnsi="Calibri" w:cs="Calibri"/>
                <w:sz w:val="19"/>
                <w:szCs w:val="19"/>
              </w:rPr>
              <w:t xml:space="preserve"> – nadziemne, 1 – podziemna</w:t>
            </w: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490"/>
        </w:trPr>
        <w:tc>
          <w:tcPr>
            <w:tcW w:w="32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liczba lokali w budynku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916B1B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15</w:t>
            </w:r>
            <w:r w:rsidR="002E7B01" w:rsidRPr="00E20662">
              <w:rPr>
                <w:rFonts w:ascii="Calibri" w:hAnsi="Calibri" w:cs="Calibri"/>
                <w:sz w:val="19"/>
                <w:szCs w:val="19"/>
              </w:rPr>
              <w:t xml:space="preserve"> lokali mieszkalnych</w:t>
            </w:r>
          </w:p>
          <w:p w:rsidR="002E7B01" w:rsidRPr="00E20662" w:rsidRDefault="00916B1B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1</w:t>
            </w:r>
            <w:r w:rsidR="002E7B01"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lokal usługowy</w:t>
            </w: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490"/>
        </w:trPr>
        <w:tc>
          <w:tcPr>
            <w:tcW w:w="32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liczba miejsc garażowych i postojowych 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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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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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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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</w:t>
            </w:r>
            <w:r w:rsidRPr="00E20662">
              <w:rPr>
                <w:rFonts w:ascii="Calibri" w:hAnsi="Calibri" w:cs="Calibri"/>
                <w:spacing w:val="-200"/>
                <w:sz w:val="19"/>
                <w:szCs w:val="19"/>
                <w:vertAlign w:val="subscript"/>
              </w:rPr>
              <w:t>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D56F86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17</w:t>
            </w:r>
            <w:r w:rsidR="002E7B01" w:rsidRPr="00E20662">
              <w:rPr>
                <w:rFonts w:ascii="Calibri" w:hAnsi="Calibri" w:cs="Calibri"/>
                <w:sz w:val="19"/>
                <w:szCs w:val="19"/>
              </w:rPr>
              <w:t xml:space="preserve"> szt. – hala garażowa</w:t>
            </w:r>
          </w:p>
          <w:p w:rsidR="002E7B01" w:rsidRPr="00E20662" w:rsidRDefault="00916B1B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2</w:t>
            </w:r>
            <w:r w:rsidR="002E7B01" w:rsidRPr="00E20662">
              <w:rPr>
                <w:rFonts w:ascii="Calibri" w:hAnsi="Calibri" w:cs="Calibri"/>
                <w:sz w:val="19"/>
                <w:szCs w:val="19"/>
              </w:rPr>
              <w:t xml:space="preserve"> szt. – zewnętrznych miejsc postojowych</w:t>
            </w: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490"/>
        </w:trPr>
        <w:tc>
          <w:tcPr>
            <w:tcW w:w="32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dostępne media w budynku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i/>
                <w:sz w:val="19"/>
                <w:szCs w:val="19"/>
                <w:lang w:eastAsia="pl-PL"/>
              </w:rPr>
              <w:t>1. Instalacja elektryczna: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- instalacja oświetleniowa (bez opraw),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- instalacja gniazd wtykowych (bez opraw),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- instalacja 3-fazowa do kuchenek elektrycznych</w:t>
            </w:r>
            <w:r w:rsidR="00A72C54">
              <w:rPr>
                <w:rFonts w:ascii="Calibri" w:hAnsi="Calibri" w:cs="Calibri"/>
                <w:sz w:val="19"/>
                <w:szCs w:val="19"/>
                <w:lang w:eastAsia="pl-PL"/>
              </w:rPr>
              <w:t>.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i/>
                <w:sz w:val="19"/>
                <w:szCs w:val="19"/>
                <w:lang w:eastAsia="pl-PL"/>
              </w:rPr>
              <w:t>2. Instalacja telefoniczna/teletechniczna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  <w:r w:rsidRPr="00E20662">
              <w:rPr>
                <w:rFonts w:ascii="Calibri" w:hAnsi="Calibri" w:cs="Calibri"/>
                <w:i/>
                <w:sz w:val="19"/>
                <w:szCs w:val="19"/>
                <w:lang w:eastAsia="pl-PL"/>
              </w:rPr>
              <w:t>wewnętrzna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i/>
                <w:sz w:val="19"/>
                <w:szCs w:val="19"/>
                <w:lang w:eastAsia="pl-PL"/>
              </w:rPr>
              <w:t>3.Instalacja domofonowa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(przystosowana do video domofonu),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>4. Instalacja wod. – kan.</w:t>
            </w:r>
          </w:p>
          <w:p w:rsidR="002E7B01" w:rsidRPr="00E20662" w:rsidRDefault="003144BC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>5</w:t>
            </w:r>
            <w:r w:rsidR="002E7B01"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>. Instalacja c.o.</w:t>
            </w:r>
            <w:r w:rsidR="00B75FE5"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 xml:space="preserve"> </w:t>
            </w:r>
            <w:r w:rsidR="00D56F86"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 xml:space="preserve">- </w:t>
            </w:r>
            <w:r w:rsidR="00B75FE5"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 xml:space="preserve">gazowa </w:t>
            </w:r>
            <w:r w:rsidR="002E7B01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(grzejniki stalowe, płytowe z zaworami termoregulacyjnymi)</w:t>
            </w:r>
            <w:r w:rsidR="00D56F8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; piece gazowe zamontowane w mieszkaniach.</w:t>
            </w:r>
          </w:p>
          <w:p w:rsidR="002E7B01" w:rsidRPr="00E20662" w:rsidRDefault="003144BC" w:rsidP="00206A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>6</w:t>
            </w:r>
            <w:r w:rsidR="002E7B01" w:rsidRPr="00E20662">
              <w:rPr>
                <w:rFonts w:ascii="Calibri" w:hAnsi="Calibri" w:cs="Calibri"/>
                <w:i/>
                <w:iCs/>
                <w:sz w:val="19"/>
                <w:szCs w:val="19"/>
                <w:lang w:eastAsia="pl-PL"/>
              </w:rPr>
              <w:t>. Instalacja wentylacji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>.</w:t>
            </w: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490"/>
        </w:trPr>
        <w:tc>
          <w:tcPr>
            <w:tcW w:w="32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dostęp do drogi publicznej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7B01" w:rsidRPr="00E20662" w:rsidRDefault="002E7B01" w:rsidP="002E7B01">
            <w:pPr>
              <w:shd w:val="clear" w:color="auto" w:fill="FFFFFF"/>
              <w:spacing w:after="0" w:line="240" w:lineRule="auto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Tak</w:t>
            </w: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490"/>
        </w:trPr>
        <w:tc>
          <w:tcPr>
            <w:tcW w:w="32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Technologia wykonania</w:t>
            </w:r>
          </w:p>
          <w:p w:rsidR="002E7B01" w:rsidRPr="00E20662" w:rsidRDefault="002E7B01" w:rsidP="002E7B01">
            <w:pPr>
              <w:shd w:val="clear" w:color="auto" w:fill="FFFFFF"/>
              <w:spacing w:beforeLines="40" w:before="96" w:after="0" w:line="240" w:lineRule="auto"/>
              <w:ind w:right="57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26E4" w:rsidRPr="00E20662" w:rsidRDefault="002E7B01" w:rsidP="004626E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1.</w:t>
            </w:r>
            <w:r w:rsidR="008975F2"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4626E4" w:rsidRPr="00E20662">
              <w:rPr>
                <w:rFonts w:ascii="Calibri" w:hAnsi="Calibri" w:cs="Calibri"/>
                <w:b/>
                <w:sz w:val="19"/>
                <w:szCs w:val="19"/>
              </w:rPr>
              <w:t>Konstrukcja</w:t>
            </w:r>
            <w:r w:rsidR="004626E4" w:rsidRPr="00E20662">
              <w:rPr>
                <w:rFonts w:ascii="Calibri" w:hAnsi="Calibri" w:cs="Calibri"/>
                <w:sz w:val="19"/>
                <w:szCs w:val="19"/>
              </w:rPr>
              <w:t xml:space="preserve"> – </w:t>
            </w:r>
            <w:r w:rsidR="00B205C9" w:rsidRPr="00E20662">
              <w:rPr>
                <w:rFonts w:ascii="Calibri" w:hAnsi="Calibri" w:cs="Calibri"/>
                <w:sz w:val="19"/>
                <w:szCs w:val="19"/>
              </w:rPr>
              <w:t>tradycyjna murowana</w:t>
            </w:r>
            <w:r w:rsidR="004626E4" w:rsidRPr="00E20662">
              <w:rPr>
                <w:rFonts w:ascii="Calibri" w:hAnsi="Calibri" w:cs="Calibri"/>
                <w:sz w:val="19"/>
                <w:szCs w:val="19"/>
              </w:rPr>
              <w:t xml:space="preserve">, stropy monolityczne </w:t>
            </w:r>
          </w:p>
          <w:p w:rsidR="004626E4" w:rsidRPr="00E20662" w:rsidRDefault="004626E4" w:rsidP="004626E4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2. </w:t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 xml:space="preserve">Ściany </w:t>
            </w:r>
          </w:p>
          <w:p w:rsidR="004626E4" w:rsidRPr="00E20662" w:rsidRDefault="004626E4" w:rsidP="004626E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Zewnętrzne z </w:t>
            </w:r>
            <w:r w:rsidR="00FB2E5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blocz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>ków silikatowych lub cegły ceramicznej lub gazobetonu</w:t>
            </w:r>
            <w:r w:rsidR="00E34C29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gr.2</w:t>
            </w:r>
            <w:r w:rsidR="00FB2E5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4</w:t>
            </w:r>
            <w:r w:rsidR="00E34C29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oraz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żelbetowe 2</w:t>
            </w:r>
            <w:r w:rsidR="00FB2E5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4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cm </w:t>
            </w:r>
          </w:p>
          <w:p w:rsidR="00FB2E56" w:rsidRPr="00E20662" w:rsidRDefault="004626E4" w:rsidP="004626E4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Wewnętrzne</w:t>
            </w:r>
            <w:r w:rsidR="00FB2E5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międzylokalowe -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bloczek 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>silikatowy  lub cegła ceramiczna lub gazobeton</w:t>
            </w:r>
            <w:r w:rsidR="00206A44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gr. </w:t>
            </w:r>
            <w:r w:rsidR="00FB2E5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18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cm, </w:t>
            </w:r>
          </w:p>
          <w:p w:rsidR="002E7B01" w:rsidRPr="00206A44" w:rsidRDefault="00FB2E56" w:rsidP="002E7B0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Działowe (w lokalach mieszkalnych) – bloczek 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>silikatowy</w:t>
            </w:r>
            <w:r w:rsidR="009E2121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lub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cegła ceramiczna lub gazobeton</w:t>
            </w:r>
            <w:r w:rsidR="00206A44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  <w:r w:rsidR="00E71AAF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gr. </w:t>
            </w:r>
            <w:r w:rsidR="00E71AAF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12 i 8 cm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STANDARD WYKOŃCZENIA BUDYNKU I CZĘŚCI WSPÓLNYCH (WEWNĄTRZ)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1. Tynki wewnętrzne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Tynki gipsowe maszynowe.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Klatka schodowa malowana.</w:t>
            </w:r>
          </w:p>
          <w:p w:rsidR="002E7B01" w:rsidRPr="00E20662" w:rsidRDefault="00021822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Kom</w:t>
            </w:r>
            <w:r w:rsidR="00E71AAF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u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nikacja</w:t>
            </w:r>
            <w:r w:rsidR="002E7B01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na kondygnacji (-1) –</w:t>
            </w:r>
            <w:r w:rsidR="003144BC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  <w:r w:rsidR="002E7B01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tynki maszynowe cementowo-wapienne.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2. Posadzki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Na klatce schodowej i w pomieszczeniach technicznych okładziny z płytek gresowych antypoślizgowych. 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3. Schody</w:t>
            </w:r>
          </w:p>
          <w:p w:rsidR="002E7B01" w:rsidRPr="00E20662" w:rsidRDefault="002E7B01" w:rsidP="00E71AAF">
            <w:pPr>
              <w:shd w:val="clear" w:color="auto" w:fill="FFFFFF"/>
              <w:spacing w:after="0" w:line="240" w:lineRule="auto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Izolowane schody żelbetowe</w:t>
            </w:r>
            <w:r w:rsidR="00E71AAF" w:rsidRPr="00E20662">
              <w:rPr>
                <w:rFonts w:ascii="Calibri" w:hAnsi="Calibri" w:cs="Calibri"/>
                <w:sz w:val="19"/>
                <w:szCs w:val="19"/>
              </w:rPr>
              <w:t xml:space="preserve">,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płytowe, dwubiegowe monolityczne, wykończone płytkami</w:t>
            </w:r>
            <w:r w:rsidR="00E71AAF"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206A44">
              <w:rPr>
                <w:rFonts w:ascii="Calibri" w:hAnsi="Calibri" w:cs="Calibri"/>
                <w:sz w:val="19"/>
                <w:szCs w:val="19"/>
              </w:rPr>
              <w:t xml:space="preserve">gresowymi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antypoślizgowymi.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4. Balustrady wewnętrzne</w:t>
            </w:r>
          </w:p>
          <w:p w:rsidR="002E7B01" w:rsidRPr="00E20662" w:rsidRDefault="002E7B01" w:rsidP="00330029">
            <w:pPr>
              <w:shd w:val="clear" w:color="auto" w:fill="FFFFFF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cs="Calibri"/>
                <w:sz w:val="20"/>
                <w:szCs w:val="20"/>
                <w:lang w:eastAsia="pl-PL"/>
              </w:rPr>
              <w:t>Balustrady</w:t>
            </w:r>
            <w:r w:rsidRPr="00E20662">
              <w:rPr>
                <w:rFonts w:cs="Calibri"/>
                <w:sz w:val="20"/>
                <w:szCs w:val="20"/>
              </w:rPr>
              <w:t xml:space="preserve"> stalowe (profile stalowe malowane</w:t>
            </w:r>
            <w:r w:rsidRPr="00E20662">
              <w:rPr>
                <w:rFonts w:cs="Calibri"/>
                <w:sz w:val="20"/>
                <w:szCs w:val="20"/>
                <w:shd w:val="clear" w:color="auto" w:fill="FFFFFF"/>
              </w:rPr>
              <w:t xml:space="preserve">) - </w:t>
            </w:r>
            <w:r w:rsidRPr="00E20662">
              <w:rPr>
                <w:rFonts w:cs="Calibri"/>
                <w:sz w:val="20"/>
                <w:szCs w:val="20"/>
              </w:rPr>
              <w:t>wys. 1,10 m.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br/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6. Wind</w:t>
            </w:r>
            <w:r w:rsidR="00002B97"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a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br/>
            </w:r>
            <w:r w:rsidR="0080058D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Winda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od poziomu -1, do </w:t>
            </w:r>
            <w:r w:rsidR="00A716FF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5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-ej kondygnacji budynku</w:t>
            </w:r>
            <w:r w:rsidR="00A716FF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 xml:space="preserve">7. </w:t>
            </w:r>
            <w:r w:rsidR="00206A44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Miejscowy monitoring części wspólnych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Budynek wyposażony w monitoring. Rozmieszczenie kamer zgodnie z projektem wykonawczym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8. Wyposażenie klatek schodowych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• skrzynki na listy,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• oznaczenie kondygnacji 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• nazwa inwestycji i logo 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• drzwi do szachtów instalacyjnych ze sklejki</w:t>
            </w:r>
            <w:r w:rsidR="00A14AF6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/płyty meblowej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w kolorze</w:t>
            </w:r>
          </w:p>
          <w:p w:rsidR="00DB7019" w:rsidRPr="00E20662" w:rsidRDefault="002E7B01" w:rsidP="00DB7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• Logo dewelopera/Generalnego Wykonawcy</w:t>
            </w:r>
          </w:p>
          <w:p w:rsidR="002E7B01" w:rsidRPr="00E20662" w:rsidRDefault="00DB7019" w:rsidP="00DB70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• </w:t>
            </w:r>
            <w:r w:rsidR="002E7B01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Drzwi zewnętrzne dwuskrzydłowe w ramie aluminiowej, przeszklone z samozamykaczem.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9. Komórki</w:t>
            </w:r>
            <w:r w:rsidR="00C72535"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 xml:space="preserve"> lokatorskie</w:t>
            </w: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, garaż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eastAsia="pl-PL"/>
              </w:rPr>
            </w:pPr>
            <w:r w:rsidRPr="00E20662">
              <w:rPr>
                <w:rFonts w:cs="Calibri"/>
                <w:b/>
                <w:sz w:val="18"/>
                <w:szCs w:val="18"/>
                <w:lang w:eastAsia="pl-PL"/>
              </w:rPr>
              <w:t>Komórki  (poziom -1)</w:t>
            </w:r>
          </w:p>
          <w:p w:rsidR="002E7B01" w:rsidRPr="00E20662" w:rsidRDefault="00C72535" w:rsidP="002E7B01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18"/>
                <w:szCs w:val="18"/>
                <w:lang w:eastAsia="pl-PL"/>
              </w:rPr>
            </w:pPr>
            <w:r w:rsidRPr="00E20662">
              <w:rPr>
                <w:rFonts w:cs="Calibri"/>
                <w:sz w:val="18"/>
                <w:szCs w:val="18"/>
                <w:lang w:eastAsia="pl-PL"/>
              </w:rPr>
              <w:t>Wydzielone siatką stalową</w:t>
            </w:r>
            <w:r w:rsidR="009F1975">
              <w:rPr>
                <w:rFonts w:cs="Calibri"/>
                <w:sz w:val="18"/>
                <w:szCs w:val="18"/>
                <w:lang w:eastAsia="pl-PL"/>
              </w:rPr>
              <w:t>;</w:t>
            </w:r>
            <w:r w:rsidRPr="00E20662">
              <w:rPr>
                <w:rFonts w:cs="Calibri"/>
                <w:sz w:val="18"/>
                <w:szCs w:val="18"/>
                <w:lang w:eastAsia="pl-PL"/>
              </w:rPr>
              <w:t xml:space="preserve"> s</w:t>
            </w:r>
            <w:r w:rsidR="002E7B01" w:rsidRPr="00E20662">
              <w:rPr>
                <w:rFonts w:cs="Calibri"/>
                <w:sz w:val="18"/>
                <w:szCs w:val="18"/>
                <w:lang w:eastAsia="pl-PL"/>
              </w:rPr>
              <w:t>ystemowe ścianki ażurow</w:t>
            </w:r>
            <w:r w:rsidR="009F1975">
              <w:rPr>
                <w:rFonts w:cs="Calibri"/>
                <w:sz w:val="18"/>
                <w:szCs w:val="18"/>
                <w:lang w:eastAsia="pl-PL"/>
              </w:rPr>
              <w:t>e z blachy stalowej ocynkowanej</w:t>
            </w:r>
            <w:r w:rsidR="00206A44">
              <w:rPr>
                <w:rFonts w:cs="Calibri"/>
                <w:sz w:val="18"/>
                <w:szCs w:val="18"/>
                <w:lang w:eastAsia="pl-PL"/>
              </w:rPr>
              <w:t xml:space="preserve"> lub</w:t>
            </w:r>
            <w:r w:rsidR="009F1975">
              <w:rPr>
                <w:rFonts w:cs="Calibri"/>
                <w:sz w:val="18"/>
                <w:szCs w:val="18"/>
                <w:lang w:eastAsia="pl-PL"/>
              </w:rPr>
              <w:t xml:space="preserve"> murowane (nie malowane).</w:t>
            </w:r>
            <w:r w:rsidR="009E2121">
              <w:rPr>
                <w:rFonts w:cs="Calibri"/>
                <w:sz w:val="18"/>
                <w:szCs w:val="18"/>
                <w:lang w:eastAsia="pl-PL"/>
              </w:rPr>
              <w:t xml:space="preserve"> Posadzka betonowa.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Garaż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Posadzka: 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● płyta fundamentowa</w:t>
            </w:r>
            <w:r w:rsidR="004626E4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zatarta na gładko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Ściany: 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● nietynkowane, niemalowane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Oznakowanie ścian i posadzki:</w:t>
            </w:r>
          </w:p>
          <w:p w:rsidR="002E7B01" w:rsidRPr="00E20662" w:rsidRDefault="002E7B01" w:rsidP="00DB7019">
            <w:pPr>
              <w:shd w:val="clear" w:color="auto" w:fill="FFFFFF"/>
              <w:spacing w:after="0" w:line="240" w:lineRule="auto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●na ścianach, narożach, słupach oznakowanie ostrzegawcze w kolorze</w:t>
            </w:r>
            <w:r w:rsidR="00002B97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● miejsca postojowe: wydzielone liniami z numerem miejsca.</w:t>
            </w:r>
          </w:p>
          <w:p w:rsidR="00424E12" w:rsidRPr="00E20662" w:rsidRDefault="008975F2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● brama wjazdowa sterowana pilotem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1</w:t>
            </w:r>
            <w:r w:rsidR="00424E12"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0</w:t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. Śmietnik</w:t>
            </w:r>
            <w:r w:rsidR="00916B1B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– kondygnacja „-1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”, </w:t>
            </w:r>
            <w:r w:rsidR="008975F2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lokalizacja zgodna z projektem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• ścian</w:t>
            </w:r>
            <w:r w:rsidR="008975F2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y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i podsadz</w:t>
            </w:r>
            <w:r w:rsidR="008975F2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ki: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gres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 xml:space="preserve">STANDARD WYKOŃCZENIA BUDYNKU </w:t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br/>
              <w:t>Z ZEWNĄTRZ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 </w:t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1. Elewacja</w:t>
            </w:r>
          </w:p>
          <w:p w:rsidR="00C72535" w:rsidRPr="00E20662" w:rsidRDefault="00A75374" w:rsidP="00DB7019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Elewacja</w:t>
            </w:r>
            <w:r w:rsidR="00C72535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metodą lekką-mokrą– styropian gr.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16</w:t>
            </w:r>
            <w:r w:rsidR="003F2088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cm </w:t>
            </w:r>
            <w:r w:rsidR="00C72535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– zgodnie z projektem wykonawczym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; 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Logo dewelopera/Generalnego Wykonawcy.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2. Parapety zewnętrzne</w:t>
            </w:r>
          </w:p>
          <w:p w:rsidR="002E7B01" w:rsidRPr="00E20662" w:rsidRDefault="00A72C54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  <w:lang w:eastAsia="pl-PL"/>
              </w:rPr>
              <w:t>Blacha stalowa powlekana</w:t>
            </w:r>
            <w:r w:rsidR="002E7B01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, z wywinięciem.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3. Dach</w:t>
            </w:r>
          </w:p>
          <w:p w:rsidR="003F2088" w:rsidRPr="00E20662" w:rsidRDefault="00E34C29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Cs/>
                <w:sz w:val="19"/>
                <w:szCs w:val="19"/>
                <w:lang w:eastAsia="pl-PL"/>
              </w:rPr>
              <w:t xml:space="preserve">Płyta żelbetowa wg projektu konstrukcji; system dachów zielonych </w:t>
            </w:r>
            <w:r w:rsidR="0055403E" w:rsidRPr="00E20662">
              <w:rPr>
                <w:rFonts w:ascii="Calibri" w:hAnsi="Calibri" w:cs="Calibri"/>
                <w:bCs/>
                <w:sz w:val="19"/>
                <w:szCs w:val="19"/>
                <w:lang w:eastAsia="pl-PL"/>
              </w:rPr>
              <w:t>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 </w:t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4. Dojazdy i dojścia do budynku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Dojazdy i ciągi pieszo-jezdne wyłożone kostką betonową na podsypce cementowo-piaskowej</w:t>
            </w:r>
          </w:p>
          <w:p w:rsidR="002E7B01" w:rsidRPr="00E20662" w:rsidRDefault="00002B97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5</w:t>
            </w:r>
            <w:r w:rsidR="002E7B01"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 xml:space="preserve">. Reklama </w:t>
            </w:r>
          </w:p>
          <w:p w:rsidR="002E7B01" w:rsidRPr="00E20662" w:rsidRDefault="002E7B01" w:rsidP="002E7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Elementy zewnętrznej komunikacji wizualnej,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br/>
              <w:t>tj. nazwa budynku/logo</w:t>
            </w:r>
            <w:r w:rsidR="008975F2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.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HALA GARAŻOWA NIE JEST PRZYSTOSOWANA DO PARKOWANIA SAMOCHODÓW Z INSTALACJĄ LPG.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945"/>
        </w:trPr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Określenie usytuowania lokalu mieszkalnego w budynku, jeżeli przedsięwzięcie deweloperskie dotyczy lokali mieszkalnych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Lokal mieszkalny nr budowlany </w:t>
            </w:r>
            <w:r w:rsidR="00652446">
              <w:rPr>
                <w:rFonts w:ascii="Calibri" w:hAnsi="Calibri" w:cs="Calibri"/>
                <w:sz w:val="19"/>
                <w:szCs w:val="19"/>
              </w:rPr>
              <w:t>………..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położony na </w:t>
            </w:r>
            <w:r w:rsidR="00652446">
              <w:rPr>
                <w:rFonts w:ascii="Calibri" w:hAnsi="Calibri" w:cs="Calibri"/>
                <w:sz w:val="19"/>
                <w:szCs w:val="19"/>
              </w:rPr>
              <w:t>…..</w:t>
            </w:r>
            <w:r w:rsidR="00DB1423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A30A76">
              <w:rPr>
                <w:rFonts w:ascii="Calibri" w:hAnsi="Calibri" w:cs="Calibri"/>
                <w:sz w:val="19"/>
                <w:szCs w:val="19"/>
              </w:rPr>
              <w:t xml:space="preserve">kondygnacji </w:t>
            </w:r>
            <w:r w:rsidR="00652446">
              <w:rPr>
                <w:rFonts w:ascii="Calibri" w:hAnsi="Calibri" w:cs="Calibri"/>
                <w:sz w:val="19"/>
                <w:szCs w:val="19"/>
              </w:rPr>
              <w:t>(…</w:t>
            </w:r>
            <w:r w:rsidR="00A30A76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-piętrze)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20662" w:rsidRPr="00E20662" w:rsidTr="002E7B01">
        <w:tblPrEx>
          <w:tblCellMar>
            <w:left w:w="40" w:type="dxa"/>
            <w:right w:w="40" w:type="dxa"/>
          </w:tblCellMar>
        </w:tblPrEx>
        <w:trPr>
          <w:gridBefore w:val="2"/>
          <w:gridAfter w:val="1"/>
          <w:wBefore w:w="119" w:type="dxa"/>
          <w:wAfter w:w="148" w:type="dxa"/>
          <w:trHeight w:val="1425"/>
        </w:trPr>
        <w:tc>
          <w:tcPr>
            <w:tcW w:w="3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pacing w:after="0" w:line="240" w:lineRule="auto"/>
              <w:ind w:left="28" w:right="57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>Określenie powierzchni i układu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 xml:space="preserve">pomieszczeń oraz zakresu </w:t>
            </w:r>
            <w:r w:rsidRPr="00E20662">
              <w:rPr>
                <w:rFonts w:ascii="Calibri" w:hAnsi="Calibri" w:cs="Calibri"/>
                <w:sz w:val="19"/>
                <w:szCs w:val="19"/>
              </w:rPr>
              <w:br/>
              <w:t>i standardu prac wykończeniowych, do których wykonania zobowiązuje się deweloper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Powierzchnia lokalu: </w:t>
            </w:r>
            <w:r w:rsidR="00652446">
              <w:rPr>
                <w:rFonts w:ascii="Calibri" w:hAnsi="Calibri" w:cs="Calibri"/>
                <w:b/>
                <w:sz w:val="19"/>
                <w:szCs w:val="19"/>
              </w:rPr>
              <w:t>……………..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m2 składający się z: </w:t>
            </w:r>
            <w:r w:rsidR="00A30A76">
              <w:rPr>
                <w:rFonts w:ascii="Calibri" w:hAnsi="Calibri" w:cs="Calibri"/>
                <w:b/>
                <w:sz w:val="19"/>
                <w:szCs w:val="19"/>
              </w:rPr>
              <w:t>hallu, pokoju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z aneksem, </w:t>
            </w:r>
            <w:r w:rsidR="00A30A76">
              <w:rPr>
                <w:rFonts w:ascii="Calibri" w:hAnsi="Calibri" w:cs="Calibri"/>
                <w:b/>
                <w:sz w:val="19"/>
                <w:szCs w:val="19"/>
              </w:rPr>
              <w:t>pokoju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>,</w:t>
            </w:r>
            <w:r w:rsidR="00DB1423">
              <w:rPr>
                <w:rFonts w:ascii="Calibri" w:hAnsi="Calibri" w:cs="Calibri"/>
                <w:b/>
                <w:sz w:val="19"/>
                <w:szCs w:val="19"/>
              </w:rPr>
              <w:t xml:space="preserve"> pokoju,</w:t>
            </w:r>
            <w:r w:rsidRPr="00E20662">
              <w:rPr>
                <w:rFonts w:ascii="Calibri" w:hAnsi="Calibri" w:cs="Calibri"/>
                <w:b/>
                <w:sz w:val="19"/>
                <w:szCs w:val="19"/>
              </w:rPr>
              <w:t xml:space="preserve"> łazienki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STANDARD WYKOŃCZENIA MIESZKAŃ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Tynki wewnętrzne na ścianach i sufitach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Gipsowe, wykonywane mechanicznie bez malowania.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Okna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PCV (zgodnie z projektem), w jednostronnym kolorze, trzyszybowe.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 xml:space="preserve">Parapety wewnętrzne 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Konglomerat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Ścianki działowe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Z bloczków </w:t>
            </w:r>
            <w:r w:rsidR="00206A44">
              <w:rPr>
                <w:rFonts w:ascii="Calibri" w:hAnsi="Calibri" w:cs="Calibri"/>
                <w:sz w:val="19"/>
                <w:szCs w:val="19"/>
              </w:rPr>
              <w:t xml:space="preserve">silikatowych lub cegły ceramicznej lub gazobetonu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gr. 8 i 12 (w łazienkach) cm obustronnie tynkowane.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Drzwi wejściowe do mieszkań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O zwiększonej odporności na włamanie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,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jednoskrzydłowe pełne z wizjerem i klamką.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Balkony</w:t>
            </w:r>
            <w:r w:rsidR="00206A44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/Tarasy</w:t>
            </w:r>
          </w:p>
          <w:p w:rsidR="00206A44" w:rsidRPr="00E20662" w:rsidRDefault="00EE47F6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B</w:t>
            </w:r>
            <w:r w:rsidR="00B205C9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alustrady</w:t>
            </w:r>
            <w:r w:rsidR="00B205C9"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E20662">
              <w:rPr>
                <w:rFonts w:ascii="Calibri" w:hAnsi="Calibri" w:cs="Calibri"/>
                <w:sz w:val="19"/>
                <w:szCs w:val="19"/>
              </w:rPr>
              <w:t>z wypełnianiem szklanym – przeziernym oraz stalowe</w:t>
            </w:r>
            <w:r w:rsidR="00B205C9" w:rsidRPr="00E20662">
              <w:rPr>
                <w:rFonts w:ascii="Calibri" w:hAnsi="Calibri" w:cs="Calibri"/>
                <w:sz w:val="19"/>
                <w:szCs w:val="19"/>
              </w:rPr>
              <w:t>,</w:t>
            </w:r>
            <w:r w:rsidR="00197C87" w:rsidRPr="00E20662">
              <w:rPr>
                <w:rFonts w:ascii="Calibri" w:hAnsi="Calibri" w:cs="Calibri"/>
                <w:sz w:val="19"/>
                <w:szCs w:val="19"/>
              </w:rPr>
              <w:t xml:space="preserve"> cynkowane, malowane proszkowo; balustr</w:t>
            </w:r>
            <w:r w:rsidR="00206A44">
              <w:rPr>
                <w:rFonts w:ascii="Calibri" w:hAnsi="Calibri" w:cs="Calibri"/>
                <w:sz w:val="19"/>
                <w:szCs w:val="19"/>
              </w:rPr>
              <w:t>ady stalowe, cynkowane, malowane. Płytki gresowe montowane na klej lub układane na podstawkach.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Instalacja elektryczna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Podejście 3-fazowe do kuchni elektrycznej, wykonanie podejść do gniazd 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br/>
              <w:t xml:space="preserve">i przełączników (bez montażu gniazd i przełączników), instalacja dzwonka elektrycznego. Punkty bez opraw. Rozmieszczenie i ilość zgodnie z projektem wykonawczym. </w:t>
            </w:r>
            <w:r w:rsidRPr="00E20662">
              <w:rPr>
                <w:rFonts w:ascii="Calibri" w:hAnsi="Calibri" w:cs="Calibri"/>
                <w:sz w:val="19"/>
                <w:szCs w:val="19"/>
                <w:u w:val="single"/>
                <w:lang w:eastAsia="pl-PL"/>
              </w:rPr>
              <w:t xml:space="preserve">Liczniki montowane przez </w:t>
            </w:r>
            <w:r w:rsidR="003144BC" w:rsidRPr="00E20662">
              <w:rPr>
                <w:rFonts w:ascii="Calibri" w:hAnsi="Calibri" w:cs="Calibri"/>
                <w:sz w:val="19"/>
                <w:szCs w:val="19"/>
                <w:u w:val="single"/>
                <w:lang w:eastAsia="pl-PL"/>
              </w:rPr>
              <w:t>dostawcę np. PGE</w:t>
            </w:r>
            <w:r w:rsidRPr="00E20662">
              <w:rPr>
                <w:rFonts w:ascii="Calibri" w:hAnsi="Calibri" w:cs="Calibri"/>
                <w:sz w:val="19"/>
                <w:szCs w:val="19"/>
                <w:u w:val="single"/>
                <w:lang w:eastAsia="pl-PL"/>
              </w:rPr>
              <w:t>, po podpisaniu umowy na dostawę energii elektrycznej przez właściciela lokalu.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Instalacja wod-kan.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Instalacja ciepłej i zimnej wody prowadzona w posadzkach, szachtach lub bruzdach</w:t>
            </w:r>
            <w:r w:rsidR="00002B97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, natynkowo.</w:t>
            </w: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Instalacja kanalizacyjna z rur PCV prowadzona w posadzkach, szachtach lub bruzdach. Nie obejmuje białego montażu. Liczniki indywidualne na każde mieszkanie zamontowane na komunikacji ogólnodostępnej.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Instalacja c.o.</w:t>
            </w:r>
          </w:p>
          <w:p w:rsidR="002E7B01" w:rsidRPr="00E20662" w:rsidRDefault="002E7B01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Rurociągi c.o. prowadzone w warstwach podłogowych z dolnym podłączeniem grzejników. Grzejniki stalowe, płytowe z zaworami termoregulacyjnymi. </w:t>
            </w:r>
          </w:p>
          <w:p w:rsidR="00EE47F6" w:rsidRPr="00E20662" w:rsidRDefault="00EE47F6" w:rsidP="002E7B01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Instalacja gazowa</w:t>
            </w:r>
          </w:p>
          <w:p w:rsidR="00EE47F6" w:rsidRPr="00E20662" w:rsidRDefault="00EE47F6" w:rsidP="002E7B01">
            <w:pPr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Piec dwufunkcyjny gazowy </w:t>
            </w:r>
            <w:r w:rsidR="009F5FEE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z zamkniętą komorą</w:t>
            </w:r>
            <w:r w:rsidR="00206A44">
              <w:rPr>
                <w:rFonts w:ascii="Calibri" w:hAnsi="Calibri" w:cs="Calibri"/>
                <w:sz w:val="19"/>
                <w:szCs w:val="19"/>
                <w:lang w:eastAsia="pl-PL"/>
              </w:rPr>
              <w:t xml:space="preserve"> spalania montowane w mieszkaniach. </w:t>
            </w:r>
            <w:r w:rsidR="009F5FEE"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Liczniki indywidualne na każde mieszkanie zamontowane na komunikacji ogólnodostępnej.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Instalacja telewizyjna, telefoniczna i internetowa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W każdym lokalu skrzynka teletechniczna (TV, tel., internet). Punkty bez osprzętu. Usytuowanie zgodnie z projektem.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  <w:lang w:eastAsia="pl-PL"/>
              </w:rPr>
              <w:t>Instalacja domofonowa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  <w:lang w:eastAsia="pl-PL"/>
              </w:rPr>
              <w:t>Jedno połączenie domofonowe lokalu mieszkalnego – przystosowane do wideodomofonu.</w:t>
            </w:r>
          </w:p>
          <w:p w:rsidR="002E7B01" w:rsidRPr="00E20662" w:rsidRDefault="002E7B01" w:rsidP="002E7B01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b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b/>
                <w:sz w:val="19"/>
                <w:szCs w:val="19"/>
                <w:lang w:eastAsia="pl-PL"/>
              </w:rPr>
              <w:t>Instalacja wentylacji</w:t>
            </w:r>
          </w:p>
          <w:p w:rsidR="002E7B01" w:rsidRPr="00E20662" w:rsidRDefault="002E7B01" w:rsidP="00206A44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  <w:sz w:val="19"/>
                <w:szCs w:val="19"/>
                <w:lang w:eastAsia="pl-PL"/>
              </w:rPr>
            </w:pPr>
            <w:r w:rsidRPr="00E20662">
              <w:rPr>
                <w:rFonts w:ascii="Calibri" w:hAnsi="Calibri" w:cs="Calibri"/>
                <w:sz w:val="19"/>
                <w:szCs w:val="19"/>
              </w:rPr>
              <w:t xml:space="preserve">Instalacja </w:t>
            </w:r>
            <w:r w:rsidR="00206A44">
              <w:rPr>
                <w:rFonts w:ascii="Calibri" w:hAnsi="Calibri" w:cs="Calibri"/>
                <w:sz w:val="19"/>
                <w:szCs w:val="19"/>
              </w:rPr>
              <w:t>hybrydowa, wspomagana mechanicznie.</w:t>
            </w:r>
            <w:r w:rsidRPr="00E20662">
              <w:rPr>
                <w:rFonts w:ascii="Calibri" w:hAnsi="Calibri" w:cs="Calibri"/>
                <w:sz w:val="19"/>
                <w:szCs w:val="19"/>
              </w:rPr>
              <w:t xml:space="preserve"> </w:t>
            </w:r>
          </w:p>
        </w:tc>
      </w:tr>
      <w:tr w:rsidR="00E20662" w:rsidRPr="00E20662" w:rsidTr="002E7B01">
        <w:trPr>
          <w:gridBefore w:val="1"/>
          <w:wBefore w:w="107" w:type="dxa"/>
          <w:trHeight w:hRule="exact" w:val="632"/>
        </w:trPr>
        <w:tc>
          <w:tcPr>
            <w:tcW w:w="5307" w:type="dxa"/>
            <w:gridSpan w:val="3"/>
            <w:vAlign w:val="bottom"/>
          </w:tcPr>
          <w:p w:rsidR="002E7B01" w:rsidRPr="00E20662" w:rsidRDefault="002E7B01" w:rsidP="002E7B01">
            <w:pPr>
              <w:spacing w:after="0" w:line="240" w:lineRule="auto"/>
              <w:ind w:left="-57"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4500" w:type="dxa"/>
            <w:gridSpan w:val="5"/>
            <w:vAlign w:val="bottom"/>
          </w:tcPr>
          <w:p w:rsidR="002E7B01" w:rsidRPr="00E20662" w:rsidRDefault="002E7B01" w:rsidP="002E7B01">
            <w:pPr>
              <w:spacing w:after="0" w:line="240" w:lineRule="auto"/>
              <w:ind w:left="-57"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t>Podpis dewelopera albo osoby uprawnionej do</w:t>
            </w:r>
            <w:r w:rsidRPr="00E20662">
              <w:rPr>
                <w:rFonts w:ascii="Calibri" w:hAnsi="Calibri" w:cs="Calibri"/>
                <w:b/>
                <w:bCs/>
                <w:sz w:val="19"/>
                <w:szCs w:val="19"/>
              </w:rPr>
              <w:br/>
              <w:t>jego reprezentacji oraz pieczęć firmowa</w:t>
            </w:r>
          </w:p>
        </w:tc>
        <w:tc>
          <w:tcPr>
            <w:tcW w:w="234" w:type="dxa"/>
            <w:gridSpan w:val="2"/>
            <w:vAlign w:val="bottom"/>
          </w:tcPr>
          <w:p w:rsidR="002E7B01" w:rsidRPr="00E20662" w:rsidRDefault="002E7B01" w:rsidP="002E7B01">
            <w:pPr>
              <w:spacing w:after="0" w:line="240" w:lineRule="auto"/>
              <w:ind w:left="-57"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  <w:tr w:rsidR="00E20662" w:rsidRPr="00E20662" w:rsidTr="002E7B01">
        <w:trPr>
          <w:gridBefore w:val="1"/>
          <w:gridAfter w:val="1"/>
          <w:wBefore w:w="107" w:type="dxa"/>
          <w:wAfter w:w="148" w:type="dxa"/>
          <w:trHeight w:hRule="exact" w:val="531"/>
        </w:trPr>
        <w:tc>
          <w:tcPr>
            <w:tcW w:w="5707" w:type="dxa"/>
            <w:gridSpan w:val="5"/>
            <w:vAlign w:val="bottom"/>
          </w:tcPr>
          <w:p w:rsidR="002E7B01" w:rsidRPr="00E20662" w:rsidRDefault="002E7B01" w:rsidP="002E7B01">
            <w:pPr>
              <w:spacing w:after="0" w:line="240" w:lineRule="auto"/>
              <w:ind w:left="-57"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3700" w:type="dxa"/>
            <w:tcBorders>
              <w:bottom w:val="dotted" w:sz="12" w:space="0" w:color="auto"/>
            </w:tcBorders>
            <w:vAlign w:val="bottom"/>
          </w:tcPr>
          <w:p w:rsidR="002E7B01" w:rsidRPr="00E20662" w:rsidRDefault="002E7B01" w:rsidP="002E7B01">
            <w:pPr>
              <w:spacing w:after="0" w:line="240" w:lineRule="auto"/>
              <w:ind w:left="-57"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  <w:tc>
          <w:tcPr>
            <w:tcW w:w="486" w:type="dxa"/>
            <w:gridSpan w:val="3"/>
            <w:vAlign w:val="bottom"/>
          </w:tcPr>
          <w:p w:rsidR="002E7B01" w:rsidRPr="00E20662" w:rsidRDefault="002E7B01" w:rsidP="002E7B01">
            <w:pPr>
              <w:spacing w:after="0" w:line="240" w:lineRule="auto"/>
              <w:ind w:left="-57" w:right="-57"/>
              <w:jc w:val="both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</w:tc>
      </w:tr>
    </w:tbl>
    <w:p w:rsidR="002E7B01" w:rsidRPr="00E20662" w:rsidRDefault="002E7B01" w:rsidP="002E7B01">
      <w:pPr>
        <w:autoSpaceDE w:val="0"/>
        <w:autoSpaceDN w:val="0"/>
        <w:adjustRightInd w:val="0"/>
        <w:spacing w:after="0" w:line="240" w:lineRule="auto"/>
        <w:ind w:left="-102"/>
        <w:jc w:val="both"/>
        <w:rPr>
          <w:rFonts w:ascii="Calibri" w:hAnsi="Calibri" w:cs="Calibri"/>
          <w:bCs/>
          <w:sz w:val="19"/>
          <w:szCs w:val="19"/>
        </w:rPr>
      </w:pPr>
    </w:p>
    <w:p w:rsidR="002E7B01" w:rsidRPr="00E20662" w:rsidRDefault="002E7B01" w:rsidP="002E7B01">
      <w:pPr>
        <w:autoSpaceDE w:val="0"/>
        <w:autoSpaceDN w:val="0"/>
        <w:adjustRightInd w:val="0"/>
        <w:spacing w:after="0" w:line="240" w:lineRule="auto"/>
        <w:ind w:left="-102"/>
        <w:jc w:val="both"/>
        <w:rPr>
          <w:rFonts w:ascii="Calibri" w:hAnsi="Calibri" w:cs="Calibri"/>
          <w:bCs/>
          <w:sz w:val="19"/>
          <w:szCs w:val="19"/>
        </w:rPr>
      </w:pPr>
    </w:p>
    <w:p w:rsidR="002E7B01" w:rsidRPr="00E20662" w:rsidRDefault="002E7B01" w:rsidP="002E7B01">
      <w:pPr>
        <w:autoSpaceDE w:val="0"/>
        <w:autoSpaceDN w:val="0"/>
        <w:adjustRightInd w:val="0"/>
        <w:spacing w:after="0" w:line="240" w:lineRule="auto"/>
        <w:ind w:left="-102"/>
        <w:jc w:val="both"/>
        <w:rPr>
          <w:rFonts w:ascii="Calibri" w:hAnsi="Calibri" w:cs="Calibri"/>
          <w:bCs/>
          <w:sz w:val="19"/>
          <w:szCs w:val="19"/>
        </w:rPr>
      </w:pPr>
    </w:p>
    <w:p w:rsidR="002E7B01" w:rsidRPr="00E20662" w:rsidRDefault="002E7B01" w:rsidP="002E7B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19"/>
          <w:szCs w:val="19"/>
        </w:rPr>
      </w:pPr>
      <w:r w:rsidRPr="00E20662">
        <w:rPr>
          <w:rFonts w:ascii="Calibri" w:hAnsi="Calibri" w:cs="Calibri"/>
          <w:b/>
          <w:bCs/>
          <w:sz w:val="19"/>
          <w:szCs w:val="19"/>
        </w:rPr>
        <w:t>Załączniki:</w:t>
      </w:r>
    </w:p>
    <w:p w:rsidR="002E7B01" w:rsidRPr="00E20662" w:rsidRDefault="002E7B01" w:rsidP="002E7B01">
      <w:pPr>
        <w:autoSpaceDE w:val="0"/>
        <w:autoSpaceDN w:val="0"/>
        <w:adjustRightInd w:val="0"/>
        <w:spacing w:after="0" w:line="240" w:lineRule="auto"/>
        <w:ind w:left="126" w:hanging="228"/>
        <w:jc w:val="both"/>
        <w:rPr>
          <w:rFonts w:ascii="Calibri" w:hAnsi="Calibri" w:cs="Calibri"/>
          <w:sz w:val="19"/>
          <w:szCs w:val="19"/>
        </w:rPr>
      </w:pPr>
      <w:r w:rsidRPr="00E20662">
        <w:rPr>
          <w:rFonts w:ascii="Calibri" w:hAnsi="Calibri" w:cs="Calibri"/>
          <w:sz w:val="19"/>
          <w:szCs w:val="19"/>
        </w:rPr>
        <w:t>1.</w:t>
      </w:r>
      <w:r w:rsidRPr="00E20662">
        <w:rPr>
          <w:rFonts w:ascii="Calibri" w:hAnsi="Calibri" w:cs="Calibri"/>
          <w:sz w:val="19"/>
          <w:szCs w:val="19"/>
        </w:rPr>
        <w:tab/>
        <w:t>Rzut kondygnacji z zaznaczeniem lokalu mieszkalnego.</w:t>
      </w:r>
    </w:p>
    <w:p w:rsidR="002E7B01" w:rsidRPr="00E20662" w:rsidRDefault="002E7B01" w:rsidP="002E7B01">
      <w:pPr>
        <w:spacing w:after="0" w:line="240" w:lineRule="auto"/>
        <w:ind w:left="126" w:hanging="228"/>
        <w:jc w:val="both"/>
        <w:rPr>
          <w:rFonts w:ascii="Calibri" w:hAnsi="Calibri" w:cs="Calibri"/>
          <w:sz w:val="19"/>
          <w:szCs w:val="19"/>
        </w:rPr>
      </w:pPr>
      <w:r w:rsidRPr="00E20662">
        <w:rPr>
          <w:rFonts w:ascii="Calibri" w:hAnsi="Calibri" w:cs="Calibri"/>
          <w:sz w:val="19"/>
          <w:szCs w:val="19"/>
        </w:rPr>
        <w:t>2.</w:t>
      </w:r>
      <w:r w:rsidRPr="00E20662">
        <w:rPr>
          <w:rFonts w:ascii="Calibri" w:hAnsi="Calibri" w:cs="Calibri"/>
          <w:sz w:val="19"/>
          <w:szCs w:val="19"/>
        </w:rPr>
        <w:tab/>
        <w:t>Wzór umowy deweloperskiej.</w:t>
      </w:r>
    </w:p>
    <w:p w:rsidR="002E7B01" w:rsidRPr="00E20662" w:rsidRDefault="002E7B01" w:rsidP="002E7B01"/>
    <w:p w:rsidR="00DC0BAD" w:rsidRPr="00E20662" w:rsidRDefault="00DC0BAD" w:rsidP="00D902CA">
      <w:pPr>
        <w:spacing w:after="0" w:line="240" w:lineRule="auto"/>
        <w:ind w:left="126" w:hanging="228"/>
        <w:jc w:val="both"/>
        <w:rPr>
          <w:rFonts w:ascii="Calibri" w:hAnsi="Calibri" w:cs="Calibri"/>
          <w:sz w:val="19"/>
          <w:szCs w:val="19"/>
        </w:rPr>
      </w:pPr>
    </w:p>
    <w:sectPr w:rsidR="00DC0BAD" w:rsidRPr="00E20662" w:rsidSect="003B1070">
      <w:footerReference w:type="default" r:id="rId9"/>
      <w:pgSz w:w="11906" w:h="16838"/>
      <w:pgMar w:top="1021" w:right="1077" w:bottom="1021" w:left="107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298" w:rsidRDefault="00181298" w:rsidP="007674AE">
      <w:pPr>
        <w:spacing w:after="0" w:line="240" w:lineRule="auto"/>
      </w:pPr>
      <w:r>
        <w:separator/>
      </w:r>
    </w:p>
  </w:endnote>
  <w:endnote w:type="continuationSeparator" w:id="0">
    <w:p w:rsidR="00181298" w:rsidRDefault="00181298" w:rsidP="0076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Nyal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70" w:rsidRPr="00D902CA" w:rsidRDefault="003B1070" w:rsidP="00D902CA">
    <w:pPr>
      <w:pStyle w:val="Footer"/>
      <w:jc w:val="center"/>
      <w:rPr>
        <w:sz w:val="16"/>
        <w:szCs w:val="16"/>
      </w:rPr>
    </w:pPr>
    <w:r w:rsidRPr="00D902CA">
      <w:rPr>
        <w:sz w:val="16"/>
        <w:szCs w:val="16"/>
      </w:rPr>
      <w:fldChar w:fldCharType="begin"/>
    </w:r>
    <w:r w:rsidRPr="00D902CA">
      <w:rPr>
        <w:sz w:val="16"/>
        <w:szCs w:val="16"/>
      </w:rPr>
      <w:instrText>PAGE   \* MERGEFORMAT</w:instrText>
    </w:r>
    <w:r w:rsidRPr="00D902CA">
      <w:rPr>
        <w:sz w:val="16"/>
        <w:szCs w:val="16"/>
      </w:rPr>
      <w:fldChar w:fldCharType="separate"/>
    </w:r>
    <w:r w:rsidR="000C128E">
      <w:rPr>
        <w:noProof/>
        <w:sz w:val="16"/>
        <w:szCs w:val="16"/>
      </w:rPr>
      <w:t>1</w:t>
    </w:r>
    <w:r w:rsidRPr="00D902C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298" w:rsidRDefault="00181298" w:rsidP="007674AE">
      <w:pPr>
        <w:spacing w:after="0" w:line="240" w:lineRule="auto"/>
      </w:pPr>
      <w:r>
        <w:separator/>
      </w:r>
    </w:p>
  </w:footnote>
  <w:footnote w:type="continuationSeparator" w:id="0">
    <w:p w:rsidR="00181298" w:rsidRDefault="00181298" w:rsidP="00767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8D7"/>
    <w:multiLevelType w:val="hybridMultilevel"/>
    <w:tmpl w:val="FFFFFFFF"/>
    <w:lvl w:ilvl="0" w:tplc="AAAABC0E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AF0368"/>
    <w:multiLevelType w:val="hybridMultilevel"/>
    <w:tmpl w:val="FFFFFFFF"/>
    <w:lvl w:ilvl="0" w:tplc="BD94724E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AC27B5A">
      <w:start w:val="1"/>
      <w:numFmt w:val="decimal"/>
      <w:lvlText w:val="%4."/>
      <w:lvlJc w:val="left"/>
      <w:pPr>
        <w:ind w:left="2880" w:hanging="360"/>
      </w:pPr>
      <w:rPr>
        <w:rFonts w:ascii="Garamond" w:hAnsi="Garamond" w:cs="Garamond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1153DC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7953E7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BA4C6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F13F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74927"/>
    <w:multiLevelType w:val="hybridMultilevel"/>
    <w:tmpl w:val="FFFFFFFF"/>
    <w:lvl w:ilvl="0" w:tplc="A36A824E">
      <w:start w:val="1"/>
      <w:numFmt w:val="upperRoman"/>
      <w:lvlText w:val="%1."/>
      <w:lvlJc w:val="left"/>
      <w:pPr>
        <w:ind w:left="1440" w:hanging="10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871FA0"/>
    <w:multiLevelType w:val="hybridMultilevel"/>
    <w:tmpl w:val="FFFFFFFF"/>
    <w:lvl w:ilvl="0" w:tplc="C9345238">
      <w:start w:val="1"/>
      <w:numFmt w:val="decimal"/>
      <w:lvlText w:val="%1."/>
      <w:lvlJc w:val="left"/>
      <w:pPr>
        <w:ind w:left="720" w:hanging="360"/>
      </w:pPr>
      <w:rPr>
        <w:rFonts w:ascii="Garamond" w:hAnsi="Garamond" w:cs="Garamond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6D5"/>
    <w:rsid w:val="000005A9"/>
    <w:rsid w:val="00002B97"/>
    <w:rsid w:val="00004962"/>
    <w:rsid w:val="00021822"/>
    <w:rsid w:val="00027099"/>
    <w:rsid w:val="000334F7"/>
    <w:rsid w:val="00051608"/>
    <w:rsid w:val="000665D8"/>
    <w:rsid w:val="0007072D"/>
    <w:rsid w:val="000838EC"/>
    <w:rsid w:val="00094935"/>
    <w:rsid w:val="000A483C"/>
    <w:rsid w:val="000C128E"/>
    <w:rsid w:val="000C2F76"/>
    <w:rsid w:val="000D53C1"/>
    <w:rsid w:val="000D71C4"/>
    <w:rsid w:val="000D76DE"/>
    <w:rsid w:val="000E2C7C"/>
    <w:rsid w:val="000F7233"/>
    <w:rsid w:val="00105980"/>
    <w:rsid w:val="00120071"/>
    <w:rsid w:val="0012209C"/>
    <w:rsid w:val="00124E66"/>
    <w:rsid w:val="001251AE"/>
    <w:rsid w:val="00137BDB"/>
    <w:rsid w:val="00144F90"/>
    <w:rsid w:val="00157C0A"/>
    <w:rsid w:val="00162941"/>
    <w:rsid w:val="00173365"/>
    <w:rsid w:val="00181298"/>
    <w:rsid w:val="001839A3"/>
    <w:rsid w:val="00186C8D"/>
    <w:rsid w:val="00197C87"/>
    <w:rsid w:val="00204E9F"/>
    <w:rsid w:val="0020558F"/>
    <w:rsid w:val="00205808"/>
    <w:rsid w:val="00206A44"/>
    <w:rsid w:val="00230C91"/>
    <w:rsid w:val="00233D13"/>
    <w:rsid w:val="00247E81"/>
    <w:rsid w:val="00251A22"/>
    <w:rsid w:val="00264976"/>
    <w:rsid w:val="002651EA"/>
    <w:rsid w:val="00267170"/>
    <w:rsid w:val="00290FD8"/>
    <w:rsid w:val="00294CB9"/>
    <w:rsid w:val="002D4741"/>
    <w:rsid w:val="002E0475"/>
    <w:rsid w:val="002E1787"/>
    <w:rsid w:val="002E7B01"/>
    <w:rsid w:val="00303638"/>
    <w:rsid w:val="003051D8"/>
    <w:rsid w:val="003144BC"/>
    <w:rsid w:val="00323CC6"/>
    <w:rsid w:val="00330029"/>
    <w:rsid w:val="003311C8"/>
    <w:rsid w:val="003331A9"/>
    <w:rsid w:val="003332DF"/>
    <w:rsid w:val="00360811"/>
    <w:rsid w:val="00372A46"/>
    <w:rsid w:val="00381D5B"/>
    <w:rsid w:val="00383B32"/>
    <w:rsid w:val="003A7A2D"/>
    <w:rsid w:val="003B1070"/>
    <w:rsid w:val="003B3118"/>
    <w:rsid w:val="003D1C1C"/>
    <w:rsid w:val="003D6C26"/>
    <w:rsid w:val="003D71E2"/>
    <w:rsid w:val="003F2088"/>
    <w:rsid w:val="003F3E0E"/>
    <w:rsid w:val="003F6C1E"/>
    <w:rsid w:val="00414576"/>
    <w:rsid w:val="00424E12"/>
    <w:rsid w:val="004254C6"/>
    <w:rsid w:val="00443217"/>
    <w:rsid w:val="0044601E"/>
    <w:rsid w:val="004626E4"/>
    <w:rsid w:val="00476BFD"/>
    <w:rsid w:val="00492B98"/>
    <w:rsid w:val="004A0FF7"/>
    <w:rsid w:val="004A3B6A"/>
    <w:rsid w:val="004C26C8"/>
    <w:rsid w:val="004E2810"/>
    <w:rsid w:val="004E78A8"/>
    <w:rsid w:val="004E797C"/>
    <w:rsid w:val="004E7D50"/>
    <w:rsid w:val="004F6454"/>
    <w:rsid w:val="004F7D92"/>
    <w:rsid w:val="00501DB3"/>
    <w:rsid w:val="00524DC3"/>
    <w:rsid w:val="005468D4"/>
    <w:rsid w:val="005502E0"/>
    <w:rsid w:val="00553E5B"/>
    <w:rsid w:val="0055403E"/>
    <w:rsid w:val="005638C9"/>
    <w:rsid w:val="00580D25"/>
    <w:rsid w:val="00585122"/>
    <w:rsid w:val="0059000B"/>
    <w:rsid w:val="005A1A6F"/>
    <w:rsid w:val="005D2033"/>
    <w:rsid w:val="00605466"/>
    <w:rsid w:val="006140B5"/>
    <w:rsid w:val="0061493A"/>
    <w:rsid w:val="00621514"/>
    <w:rsid w:val="00622E4D"/>
    <w:rsid w:val="006318FF"/>
    <w:rsid w:val="00650610"/>
    <w:rsid w:val="00652446"/>
    <w:rsid w:val="00654F4E"/>
    <w:rsid w:val="00656A6A"/>
    <w:rsid w:val="006617D5"/>
    <w:rsid w:val="00674F1E"/>
    <w:rsid w:val="00687270"/>
    <w:rsid w:val="006B6E89"/>
    <w:rsid w:val="006C014E"/>
    <w:rsid w:val="006C54BA"/>
    <w:rsid w:val="006C66C9"/>
    <w:rsid w:val="006F124C"/>
    <w:rsid w:val="006F1A8F"/>
    <w:rsid w:val="006F60B2"/>
    <w:rsid w:val="00716B47"/>
    <w:rsid w:val="00722871"/>
    <w:rsid w:val="00736B90"/>
    <w:rsid w:val="00740FCC"/>
    <w:rsid w:val="007533BA"/>
    <w:rsid w:val="007674AE"/>
    <w:rsid w:val="00784CB0"/>
    <w:rsid w:val="007A114B"/>
    <w:rsid w:val="007A46D9"/>
    <w:rsid w:val="007B2994"/>
    <w:rsid w:val="007D7FEB"/>
    <w:rsid w:val="007F275B"/>
    <w:rsid w:val="007F51DA"/>
    <w:rsid w:val="0080058D"/>
    <w:rsid w:val="00823BF6"/>
    <w:rsid w:val="008543AA"/>
    <w:rsid w:val="00855D48"/>
    <w:rsid w:val="008725E4"/>
    <w:rsid w:val="008760D2"/>
    <w:rsid w:val="00883125"/>
    <w:rsid w:val="00892411"/>
    <w:rsid w:val="008975F2"/>
    <w:rsid w:val="00897676"/>
    <w:rsid w:val="008C67DD"/>
    <w:rsid w:val="008D6958"/>
    <w:rsid w:val="008D765D"/>
    <w:rsid w:val="008E1289"/>
    <w:rsid w:val="008E1772"/>
    <w:rsid w:val="008F656E"/>
    <w:rsid w:val="00902FF5"/>
    <w:rsid w:val="0091667D"/>
    <w:rsid w:val="00916B1B"/>
    <w:rsid w:val="009274DE"/>
    <w:rsid w:val="0093155E"/>
    <w:rsid w:val="00946C44"/>
    <w:rsid w:val="00946E80"/>
    <w:rsid w:val="0095504D"/>
    <w:rsid w:val="009612FD"/>
    <w:rsid w:val="00966714"/>
    <w:rsid w:val="00967919"/>
    <w:rsid w:val="00992B24"/>
    <w:rsid w:val="009C0003"/>
    <w:rsid w:val="009E2121"/>
    <w:rsid w:val="009E302C"/>
    <w:rsid w:val="009E39D7"/>
    <w:rsid w:val="009F1975"/>
    <w:rsid w:val="009F19D9"/>
    <w:rsid w:val="009F35A4"/>
    <w:rsid w:val="009F5FEE"/>
    <w:rsid w:val="00A14AF6"/>
    <w:rsid w:val="00A2466A"/>
    <w:rsid w:val="00A30A76"/>
    <w:rsid w:val="00A50374"/>
    <w:rsid w:val="00A53D6B"/>
    <w:rsid w:val="00A54EC2"/>
    <w:rsid w:val="00A578DC"/>
    <w:rsid w:val="00A6084D"/>
    <w:rsid w:val="00A61F0A"/>
    <w:rsid w:val="00A716FF"/>
    <w:rsid w:val="00A72C54"/>
    <w:rsid w:val="00A75374"/>
    <w:rsid w:val="00A819E1"/>
    <w:rsid w:val="00A83552"/>
    <w:rsid w:val="00A83C62"/>
    <w:rsid w:val="00A93398"/>
    <w:rsid w:val="00A954E4"/>
    <w:rsid w:val="00A979D3"/>
    <w:rsid w:val="00AB06D8"/>
    <w:rsid w:val="00AB27F9"/>
    <w:rsid w:val="00AB5C50"/>
    <w:rsid w:val="00AC70CB"/>
    <w:rsid w:val="00AD2666"/>
    <w:rsid w:val="00AE7AC4"/>
    <w:rsid w:val="00B205C9"/>
    <w:rsid w:val="00B220D4"/>
    <w:rsid w:val="00B43A10"/>
    <w:rsid w:val="00B501DB"/>
    <w:rsid w:val="00B53B85"/>
    <w:rsid w:val="00B64953"/>
    <w:rsid w:val="00B72E26"/>
    <w:rsid w:val="00B75FE5"/>
    <w:rsid w:val="00BA7A93"/>
    <w:rsid w:val="00BE62EF"/>
    <w:rsid w:val="00BF0E4B"/>
    <w:rsid w:val="00BF109A"/>
    <w:rsid w:val="00BF1D3C"/>
    <w:rsid w:val="00C0501A"/>
    <w:rsid w:val="00C10717"/>
    <w:rsid w:val="00C21F69"/>
    <w:rsid w:val="00C72535"/>
    <w:rsid w:val="00CA4EFF"/>
    <w:rsid w:val="00CA5DDF"/>
    <w:rsid w:val="00CA709D"/>
    <w:rsid w:val="00CB4443"/>
    <w:rsid w:val="00CC5B49"/>
    <w:rsid w:val="00CD7034"/>
    <w:rsid w:val="00CE14E6"/>
    <w:rsid w:val="00CF60CF"/>
    <w:rsid w:val="00CF6659"/>
    <w:rsid w:val="00D05D45"/>
    <w:rsid w:val="00D06583"/>
    <w:rsid w:val="00D076AA"/>
    <w:rsid w:val="00D15401"/>
    <w:rsid w:val="00D24F0B"/>
    <w:rsid w:val="00D44C13"/>
    <w:rsid w:val="00D52C06"/>
    <w:rsid w:val="00D56F86"/>
    <w:rsid w:val="00D84FDC"/>
    <w:rsid w:val="00D902CA"/>
    <w:rsid w:val="00DB1423"/>
    <w:rsid w:val="00DB66D5"/>
    <w:rsid w:val="00DB7019"/>
    <w:rsid w:val="00DC0BAD"/>
    <w:rsid w:val="00DD560C"/>
    <w:rsid w:val="00DD6003"/>
    <w:rsid w:val="00DE495D"/>
    <w:rsid w:val="00DE6678"/>
    <w:rsid w:val="00DF773B"/>
    <w:rsid w:val="00E04B12"/>
    <w:rsid w:val="00E07C35"/>
    <w:rsid w:val="00E20662"/>
    <w:rsid w:val="00E24C50"/>
    <w:rsid w:val="00E34C29"/>
    <w:rsid w:val="00E40F53"/>
    <w:rsid w:val="00E54DBE"/>
    <w:rsid w:val="00E71AAF"/>
    <w:rsid w:val="00E832D9"/>
    <w:rsid w:val="00E9070B"/>
    <w:rsid w:val="00E92EB2"/>
    <w:rsid w:val="00EA5FBE"/>
    <w:rsid w:val="00EE32AD"/>
    <w:rsid w:val="00EE47F6"/>
    <w:rsid w:val="00F20DC2"/>
    <w:rsid w:val="00F2590E"/>
    <w:rsid w:val="00F32B5B"/>
    <w:rsid w:val="00F40335"/>
    <w:rsid w:val="00F4735A"/>
    <w:rsid w:val="00F701D4"/>
    <w:rsid w:val="00F77A51"/>
    <w:rsid w:val="00F93449"/>
    <w:rsid w:val="00F95292"/>
    <w:rsid w:val="00FA043E"/>
    <w:rsid w:val="00FB2D55"/>
    <w:rsid w:val="00FB2E56"/>
    <w:rsid w:val="00FB5FFD"/>
    <w:rsid w:val="00FD1B60"/>
    <w:rsid w:val="00FE21F5"/>
    <w:rsid w:val="00FE32D6"/>
    <w:rsid w:val="00FE5BD3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69A8714-C99F-4657-A208-05848738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6D5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66D5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66D5"/>
    <w:rPr>
      <w:rFonts w:cs="Times New Roman"/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66D5"/>
    <w:rPr>
      <w:rFonts w:cs="Times New Roman"/>
    </w:rPr>
  </w:style>
  <w:style w:type="table" w:styleId="TableGrid">
    <w:name w:val="Table Grid"/>
    <w:basedOn w:val="TableNormal"/>
    <w:uiPriority w:val="39"/>
    <w:rsid w:val="00DB66D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6D5"/>
    <w:pPr>
      <w:ind w:left="720"/>
      <w:contextualSpacing/>
    </w:pPr>
  </w:style>
  <w:style w:type="paragraph" w:customStyle="1" w:styleId="Default">
    <w:name w:val="Default"/>
    <w:rsid w:val="00DB6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7674AE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81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674AE"/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281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3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0E93-0A27-468D-A42D-305846FF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2881</Words>
  <Characters>16425</Characters>
  <Application>Microsoft Office Word</Application>
  <DocSecurity>4</DocSecurity>
  <Lines>136</Lines>
  <Paragraphs>38</Paragraphs>
  <ScaleCrop>false</ScaleCrop>
  <Company/>
  <LinksUpToDate>false</LinksUpToDate>
  <CharactersWithSpaces>19268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Kasiaw</dc:creator>
  <cp:keywords/>
  <dc:description/>
  <cp:lastModifiedBy>word</cp:lastModifiedBy>
  <cp:revision>2</cp:revision>
  <cp:lastPrinted>2022-06-28T12:13:00Z</cp:lastPrinted>
  <dcterms:created xsi:type="dcterms:W3CDTF">2025-09-01T14:39:00Z</dcterms:created>
  <dcterms:modified xsi:type="dcterms:W3CDTF">2025-09-01T14:39:00Z</dcterms:modified>
</cp:coreProperties>
</file>